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0007A" w14:textId="77777777" w:rsidR="008C1DE2" w:rsidRPr="00517534" w:rsidRDefault="008C1DE2" w:rsidP="004B5482">
      <w:pPr>
        <w:rPr>
          <w:b/>
          <w:sz w:val="28"/>
          <w:szCs w:val="28"/>
          <w:lang w:val="en-GB"/>
        </w:rPr>
      </w:pPr>
      <w:r w:rsidRPr="00517534">
        <w:rPr>
          <w:b/>
          <w:sz w:val="28"/>
          <w:szCs w:val="28"/>
          <w:lang w:val="en-GB"/>
        </w:rPr>
        <w:t xml:space="preserve">The Kosovar </w:t>
      </w:r>
      <w:r w:rsidR="008B40DB" w:rsidRPr="00517534">
        <w:rPr>
          <w:b/>
          <w:sz w:val="28"/>
          <w:szCs w:val="28"/>
          <w:lang w:val="en-GB"/>
        </w:rPr>
        <w:t xml:space="preserve">Basic Age Pension as Universalist Exception amid </w:t>
      </w:r>
      <w:proofErr w:type="spellStart"/>
      <w:r w:rsidR="008B40DB" w:rsidRPr="00517534">
        <w:rPr>
          <w:b/>
          <w:sz w:val="28"/>
          <w:szCs w:val="28"/>
          <w:lang w:val="en-GB"/>
        </w:rPr>
        <w:t>Clientelistic</w:t>
      </w:r>
      <w:proofErr w:type="spellEnd"/>
      <w:r w:rsidR="008B40DB" w:rsidRPr="00517534">
        <w:rPr>
          <w:b/>
          <w:sz w:val="28"/>
          <w:szCs w:val="28"/>
          <w:lang w:val="en-GB"/>
        </w:rPr>
        <w:t xml:space="preserve"> Fragmentation</w:t>
      </w:r>
      <w:r w:rsidRPr="00517534">
        <w:rPr>
          <w:b/>
          <w:sz w:val="28"/>
          <w:szCs w:val="28"/>
          <w:lang w:val="en-GB"/>
        </w:rPr>
        <w:t xml:space="preserve"> </w:t>
      </w:r>
    </w:p>
    <w:p w14:paraId="749F06E2" w14:textId="77777777" w:rsidR="008C1DE2" w:rsidRPr="00517534" w:rsidRDefault="008C1DE2" w:rsidP="004B5482">
      <w:pPr>
        <w:rPr>
          <w:lang w:val="en-GB"/>
        </w:rPr>
      </w:pPr>
      <w:r w:rsidRPr="00517534">
        <w:rPr>
          <w:lang w:val="en-GB"/>
        </w:rPr>
        <w:t>Igor Guardiancich</w:t>
      </w:r>
      <w:r w:rsidR="00177E94" w:rsidRPr="00517534">
        <w:rPr>
          <w:rStyle w:val="FootnoteReference"/>
          <w:lang w:val="en-GB"/>
        </w:rPr>
        <w:footnoteReference w:id="1"/>
      </w:r>
    </w:p>
    <w:p w14:paraId="13D7FFA5" w14:textId="77777777" w:rsidR="004B5482" w:rsidRPr="00517534" w:rsidRDefault="004B5482" w:rsidP="004B5482">
      <w:pPr>
        <w:rPr>
          <w:b/>
          <w:lang w:val="en-GB"/>
        </w:rPr>
      </w:pPr>
    </w:p>
    <w:p w14:paraId="60771403" w14:textId="77777777" w:rsidR="008C1DE2" w:rsidRPr="00517534" w:rsidRDefault="008C1DE2" w:rsidP="004B5482">
      <w:pPr>
        <w:rPr>
          <w:b/>
          <w:lang w:val="en-GB"/>
        </w:rPr>
      </w:pPr>
      <w:r w:rsidRPr="00517534">
        <w:rPr>
          <w:b/>
          <w:lang w:val="en-GB"/>
        </w:rPr>
        <w:t>Abstract</w:t>
      </w:r>
    </w:p>
    <w:p w14:paraId="5347A456" w14:textId="453C361F" w:rsidR="008C1DE2" w:rsidRPr="00517534" w:rsidRDefault="001722B3" w:rsidP="004B5482">
      <w:pPr>
        <w:rPr>
          <w:lang w:val="en-GB"/>
        </w:rPr>
      </w:pPr>
      <w:r w:rsidRPr="00517534">
        <w:rPr>
          <w:lang w:val="en-GB"/>
        </w:rPr>
        <w:t>Kosovo’s</w:t>
      </w:r>
      <w:r w:rsidR="008C1DE2" w:rsidRPr="00517534">
        <w:rPr>
          <w:lang w:val="en-GB"/>
        </w:rPr>
        <w:t xml:space="preserve"> </w:t>
      </w:r>
      <w:r w:rsidR="004B3AF9" w:rsidRPr="00517534">
        <w:rPr>
          <w:lang w:val="en-GB"/>
        </w:rPr>
        <w:t xml:space="preserve">universal non-means-tested </w:t>
      </w:r>
      <w:r w:rsidR="008C1DE2" w:rsidRPr="00517534">
        <w:rPr>
          <w:lang w:val="en-GB"/>
        </w:rPr>
        <w:t xml:space="preserve">basic age pension provides an income floor to all resident citizens aged 65 and over, who do not qualify for other budget-financed schemes. </w:t>
      </w:r>
      <w:r w:rsidRPr="00517534">
        <w:rPr>
          <w:lang w:val="en-GB"/>
        </w:rPr>
        <w:t xml:space="preserve">It is regarded as administratively simple and cost-efficient. However, being a universalistic scheme, it is ill-equipped to provide for the </w:t>
      </w:r>
      <w:proofErr w:type="spellStart"/>
      <w:r w:rsidRPr="00517534">
        <w:rPr>
          <w:lang w:val="en-GB"/>
        </w:rPr>
        <w:t>clientelistic</w:t>
      </w:r>
      <w:proofErr w:type="spellEnd"/>
      <w:r w:rsidRPr="00517534">
        <w:rPr>
          <w:lang w:val="en-GB"/>
        </w:rPr>
        <w:t xml:space="preserve"> needs of Kosov</w:t>
      </w:r>
      <w:r w:rsidR="0064570B" w:rsidRPr="00517534">
        <w:rPr>
          <w:lang w:val="en-GB"/>
        </w:rPr>
        <w:t>o</w:t>
      </w:r>
      <w:r w:rsidRPr="00517534">
        <w:rPr>
          <w:lang w:val="en-GB"/>
        </w:rPr>
        <w:t xml:space="preserve">’s politicians. </w:t>
      </w:r>
      <w:r w:rsidR="008C1DE2" w:rsidRPr="00517534">
        <w:rPr>
          <w:lang w:val="en-GB"/>
        </w:rPr>
        <w:t>T</w:t>
      </w:r>
      <w:r w:rsidRPr="00517534">
        <w:rPr>
          <w:lang w:val="en-GB"/>
        </w:rPr>
        <w:t>o free up budget resources,</w:t>
      </w:r>
      <w:r w:rsidR="008C1DE2" w:rsidRPr="00517534">
        <w:rPr>
          <w:lang w:val="en-GB"/>
        </w:rPr>
        <w:t xml:space="preserve"> </w:t>
      </w:r>
      <w:r w:rsidRPr="00517534">
        <w:rPr>
          <w:lang w:val="en-GB"/>
        </w:rPr>
        <w:t xml:space="preserve">the </w:t>
      </w:r>
      <w:r w:rsidR="008C1DE2" w:rsidRPr="00517534">
        <w:rPr>
          <w:lang w:val="en-GB"/>
        </w:rPr>
        <w:t xml:space="preserve">Labour Ministry planned </w:t>
      </w:r>
      <w:r w:rsidR="0064570B" w:rsidRPr="00517534">
        <w:rPr>
          <w:lang w:val="en-GB"/>
        </w:rPr>
        <w:t xml:space="preserve">in 2016 </w:t>
      </w:r>
      <w:r w:rsidR="008C1DE2" w:rsidRPr="00517534">
        <w:rPr>
          <w:lang w:val="en-GB"/>
        </w:rPr>
        <w:t xml:space="preserve">to </w:t>
      </w:r>
      <w:r w:rsidRPr="00517534">
        <w:rPr>
          <w:lang w:val="en-GB"/>
        </w:rPr>
        <w:t xml:space="preserve">cut </w:t>
      </w:r>
      <w:r w:rsidR="0064570B" w:rsidRPr="00517534">
        <w:rPr>
          <w:lang w:val="en-GB"/>
        </w:rPr>
        <w:t>the zero pillar</w:t>
      </w:r>
      <w:r w:rsidRPr="00517534">
        <w:rPr>
          <w:lang w:val="en-GB"/>
        </w:rPr>
        <w:t xml:space="preserve"> to finance the special schemes for war veterans and their families that mushroomed in recent years.</w:t>
      </w:r>
      <w:r w:rsidR="008C1DE2" w:rsidRPr="00517534">
        <w:rPr>
          <w:lang w:val="en-GB"/>
        </w:rPr>
        <w:t xml:space="preserve"> This article argues that </w:t>
      </w:r>
      <w:r w:rsidR="0064570B" w:rsidRPr="00517534">
        <w:rPr>
          <w:lang w:val="en-GB"/>
        </w:rPr>
        <w:t>dismantling the basic pension is</w:t>
      </w:r>
      <w:r w:rsidR="008C1DE2" w:rsidRPr="00517534">
        <w:rPr>
          <w:lang w:val="en-GB"/>
        </w:rPr>
        <w:t xml:space="preserve"> potentially harmful to the poorest strata of the elderly population and out of touch with Kosovo’s </w:t>
      </w:r>
      <w:r w:rsidRPr="00517534">
        <w:rPr>
          <w:lang w:val="en-GB"/>
        </w:rPr>
        <w:t>labour market</w:t>
      </w:r>
      <w:r w:rsidR="008C1DE2" w:rsidRPr="00517534">
        <w:rPr>
          <w:lang w:val="en-GB"/>
        </w:rPr>
        <w:t xml:space="preserve"> reality.</w:t>
      </w:r>
    </w:p>
    <w:p w14:paraId="7E784AA2" w14:textId="77777777" w:rsidR="004B5482" w:rsidRPr="00517534" w:rsidRDefault="004B5482" w:rsidP="004B5482">
      <w:pPr>
        <w:rPr>
          <w:lang w:val="en-GB"/>
        </w:rPr>
      </w:pPr>
    </w:p>
    <w:p w14:paraId="67D42F6C" w14:textId="442CADB4" w:rsidR="008C1DE2" w:rsidRPr="00517534" w:rsidRDefault="009877DF" w:rsidP="004B5482">
      <w:pPr>
        <w:rPr>
          <w:lang w:val="en-GB"/>
        </w:rPr>
      </w:pPr>
      <w:r>
        <w:rPr>
          <w:lang w:val="en-GB"/>
        </w:rPr>
        <w:t>Word count (total)</w:t>
      </w:r>
      <w:r w:rsidR="008C1DE2" w:rsidRPr="00517534">
        <w:rPr>
          <w:lang w:val="en-GB"/>
        </w:rPr>
        <w:t>:</w:t>
      </w:r>
      <w:r>
        <w:rPr>
          <w:lang w:val="en-GB"/>
        </w:rPr>
        <w:t xml:space="preserve"> 5,981</w:t>
      </w:r>
      <w:r w:rsidR="00A81B43" w:rsidRPr="00517534">
        <w:rPr>
          <w:lang w:val="en-GB"/>
        </w:rPr>
        <w:t xml:space="preserve"> </w:t>
      </w:r>
    </w:p>
    <w:p w14:paraId="522C24C4" w14:textId="11E41000" w:rsidR="008C1DE2" w:rsidRDefault="008C1DE2" w:rsidP="004B5482">
      <w:pPr>
        <w:rPr>
          <w:lang w:val="en-GB"/>
        </w:rPr>
      </w:pPr>
    </w:p>
    <w:p w14:paraId="754681E6" w14:textId="4836C09F" w:rsidR="00762D49" w:rsidRPr="00517534" w:rsidRDefault="00762D49" w:rsidP="004B5482">
      <w:pPr>
        <w:rPr>
          <w:lang w:val="en-GB"/>
        </w:rPr>
      </w:pPr>
      <w:r>
        <w:rPr>
          <w:lang w:val="en-GB"/>
        </w:rPr>
        <w:t>Pre-print version.</w:t>
      </w:r>
      <w:bookmarkStart w:id="0" w:name="_GoBack"/>
      <w:bookmarkEnd w:id="0"/>
    </w:p>
    <w:p w14:paraId="74EB4EA3" w14:textId="77777777" w:rsidR="00D33C4A" w:rsidRDefault="00D33C4A" w:rsidP="00D33C4A">
      <w:pPr>
        <w:pStyle w:val="Heading1"/>
      </w:pPr>
    </w:p>
    <w:p w14:paraId="1F060B65" w14:textId="77777777" w:rsidR="0013276E" w:rsidRDefault="0013276E" w:rsidP="0013276E">
      <w:pPr>
        <w:rPr>
          <w:lang w:val="en-GB"/>
        </w:rPr>
      </w:pPr>
      <w:r>
        <w:rPr>
          <w:lang w:val="en-GB"/>
        </w:rPr>
        <w:t>Please cite as:</w:t>
      </w:r>
    </w:p>
    <w:p w14:paraId="21E4E9D7" w14:textId="77777777" w:rsidR="0013276E" w:rsidRDefault="0013276E" w:rsidP="0013276E">
      <w:pPr>
        <w:rPr>
          <w:lang w:val="en-GB"/>
        </w:rPr>
      </w:pPr>
    </w:p>
    <w:p w14:paraId="1B949918" w14:textId="77777777" w:rsidR="0013276E" w:rsidRDefault="0013276E" w:rsidP="0013276E">
      <w:pPr>
        <w:rPr>
          <w:lang w:val="en-GB"/>
        </w:rPr>
      </w:pPr>
    </w:p>
    <w:p w14:paraId="0828212F" w14:textId="65EBA137" w:rsidR="0013276E" w:rsidRPr="0013276E" w:rsidRDefault="0013276E" w:rsidP="0013276E">
      <w:pPr>
        <w:rPr>
          <w:lang w:val="en-GB"/>
        </w:rPr>
      </w:pPr>
      <w:r w:rsidRPr="0013276E">
        <w:rPr>
          <w:lang w:val="en-US"/>
        </w:rPr>
        <w:t xml:space="preserve">Guardiancich, I. (2018). The Kosovar Basic Old Age Pension as Universalist Exception amidst Clientelist Fragmentation. </w:t>
      </w:r>
      <w:r w:rsidRPr="0013276E">
        <w:rPr>
          <w:i/>
          <w:iCs/>
          <w:lang w:val="en-US"/>
        </w:rPr>
        <w:t xml:space="preserve">SEER Journal for </w:t>
      </w:r>
      <w:proofErr w:type="spellStart"/>
      <w:r w:rsidRPr="0013276E">
        <w:rPr>
          <w:i/>
          <w:iCs/>
          <w:lang w:val="en-US"/>
        </w:rPr>
        <w:t>Labour</w:t>
      </w:r>
      <w:proofErr w:type="spellEnd"/>
      <w:r w:rsidRPr="0013276E">
        <w:rPr>
          <w:i/>
          <w:iCs/>
          <w:lang w:val="en-US"/>
        </w:rPr>
        <w:t xml:space="preserve"> and Social Affairs in Eastern Europe</w:t>
      </w:r>
      <w:r w:rsidRPr="0013276E">
        <w:rPr>
          <w:lang w:val="en-US"/>
        </w:rPr>
        <w:t xml:space="preserve">, </w:t>
      </w:r>
      <w:r w:rsidRPr="0013276E">
        <w:rPr>
          <w:i/>
          <w:iCs/>
          <w:lang w:val="en-US"/>
        </w:rPr>
        <w:t>21</w:t>
      </w:r>
      <w:r w:rsidRPr="0013276E">
        <w:rPr>
          <w:lang w:val="en-US"/>
        </w:rPr>
        <w:t xml:space="preserve">(2), 237–252. </w:t>
      </w:r>
      <w:hyperlink r:id="rId8" w:history="1">
        <w:r>
          <w:rPr>
            <w:rStyle w:val="Hyperlink"/>
          </w:rPr>
          <w:t>https://doi.org/10.5771/1435-2869-2018-2-87</w:t>
        </w:r>
      </w:hyperlink>
    </w:p>
    <w:p w14:paraId="028B4794" w14:textId="64A6E44E" w:rsidR="0013276E" w:rsidRPr="0013276E" w:rsidRDefault="0013276E" w:rsidP="0013276E">
      <w:pPr>
        <w:rPr>
          <w:lang w:val="en-GB"/>
        </w:rPr>
        <w:sectPr w:rsidR="0013276E" w:rsidRPr="0013276E" w:rsidSect="00D33C4A">
          <w:footerReference w:type="default" r:id="rId9"/>
          <w:footnotePr>
            <w:numFmt w:val="chicago"/>
          </w:footnotePr>
          <w:endnotePr>
            <w:numFmt w:val="decimal"/>
          </w:endnotePr>
          <w:pgSz w:w="11906" w:h="16838"/>
          <w:pgMar w:top="1440" w:right="1440" w:bottom="1440" w:left="1440" w:header="0" w:footer="709" w:gutter="0"/>
          <w:cols w:space="720"/>
          <w:formProt w:val="0"/>
          <w:docGrid w:linePitch="240" w:charSpace="-6145"/>
        </w:sectPr>
      </w:pPr>
    </w:p>
    <w:p w14:paraId="34459A1C" w14:textId="77777777" w:rsidR="008C1DE2" w:rsidRPr="00517534" w:rsidRDefault="008C1DE2" w:rsidP="00D33C4A">
      <w:pPr>
        <w:pStyle w:val="Heading1"/>
      </w:pPr>
      <w:r w:rsidRPr="00517534">
        <w:lastRenderedPageBreak/>
        <w:t>Introduction</w:t>
      </w:r>
    </w:p>
    <w:p w14:paraId="6D35F77E" w14:textId="0303C447" w:rsidR="008C1DE2" w:rsidRPr="00517534" w:rsidRDefault="008C1DE2" w:rsidP="002D3EE0">
      <w:pPr>
        <w:ind w:firstLine="708"/>
        <w:rPr>
          <w:lang w:val="en-GB"/>
        </w:rPr>
      </w:pPr>
      <w:r w:rsidRPr="00517534">
        <w:rPr>
          <w:lang w:val="en-GB"/>
        </w:rPr>
        <w:t>Kosovo falls within the family of Mediterranean welfare</w:t>
      </w:r>
      <w:r w:rsidR="0064570B" w:rsidRPr="00517534">
        <w:rPr>
          <w:lang w:val="en-GB"/>
        </w:rPr>
        <w:t xml:space="preserve"> </w:t>
      </w:r>
      <w:proofErr w:type="gramStart"/>
      <w:r w:rsidR="0064570B" w:rsidRPr="00517534">
        <w:rPr>
          <w:lang w:val="en-GB"/>
        </w:rPr>
        <w:t>states</w:t>
      </w:r>
      <w:r w:rsidR="00546E97" w:rsidRPr="00517534">
        <w:rPr>
          <w:lang w:val="en-GB"/>
        </w:rPr>
        <w:t>,</w:t>
      </w:r>
      <w:proofErr w:type="gramEnd"/>
      <w:r w:rsidR="00546E97" w:rsidRPr="00517534">
        <w:rPr>
          <w:lang w:val="en-GB"/>
        </w:rPr>
        <w:t xml:space="preserve"> whose</w:t>
      </w:r>
      <w:r w:rsidRPr="00517534">
        <w:rPr>
          <w:lang w:val="en-GB"/>
        </w:rPr>
        <w:t xml:space="preserve"> GDP per capita levels</w:t>
      </w:r>
      <w:r w:rsidR="00546E97" w:rsidRPr="00517534">
        <w:rPr>
          <w:lang w:val="en-GB"/>
        </w:rPr>
        <w:t xml:space="preserve"> are</w:t>
      </w:r>
      <w:r w:rsidRPr="00517534">
        <w:rPr>
          <w:lang w:val="en-GB"/>
        </w:rPr>
        <w:t xml:space="preserve"> lower than in most advanced political economies</w:t>
      </w:r>
      <w:r w:rsidR="00546E97" w:rsidRPr="00517534">
        <w:rPr>
          <w:lang w:val="en-GB"/>
        </w:rPr>
        <w:t xml:space="preserve"> and</w:t>
      </w:r>
      <w:r w:rsidRPr="00517534">
        <w:rPr>
          <w:lang w:val="en-GB"/>
        </w:rPr>
        <w:t xml:space="preserve"> </w:t>
      </w:r>
      <w:r w:rsidR="00546E97" w:rsidRPr="00517534">
        <w:rPr>
          <w:lang w:val="en-GB"/>
        </w:rPr>
        <w:t xml:space="preserve">social protection is </w:t>
      </w:r>
      <w:r w:rsidRPr="00517534">
        <w:rPr>
          <w:lang w:val="en-GB"/>
        </w:rPr>
        <w:t>underdeveloped</w:t>
      </w:r>
      <w:r w:rsidR="00546E97" w:rsidRPr="00517534">
        <w:rPr>
          <w:lang w:val="en-GB"/>
        </w:rPr>
        <w:t>. A</w:t>
      </w:r>
      <w:r w:rsidRPr="00517534">
        <w:rPr>
          <w:lang w:val="en-GB"/>
        </w:rPr>
        <w:t xml:space="preserve"> </w:t>
      </w:r>
      <w:r w:rsidR="00995DD8" w:rsidRPr="00517534">
        <w:rPr>
          <w:lang w:val="en-GB"/>
        </w:rPr>
        <w:t>large</w:t>
      </w:r>
      <w:r w:rsidRPr="00517534">
        <w:rPr>
          <w:lang w:val="en-GB"/>
        </w:rPr>
        <w:t xml:space="preserve"> proportion of the population </w:t>
      </w:r>
      <w:r w:rsidR="00546E97" w:rsidRPr="00517534">
        <w:rPr>
          <w:lang w:val="en-GB"/>
        </w:rPr>
        <w:t xml:space="preserve">is </w:t>
      </w:r>
      <w:r w:rsidRPr="00517534">
        <w:rPr>
          <w:lang w:val="en-GB"/>
        </w:rPr>
        <w:t>at risk of poverty and economic inequality</w:t>
      </w:r>
      <w:r w:rsidR="00995DD8" w:rsidRPr="00517534">
        <w:rPr>
          <w:lang w:val="en-GB"/>
        </w:rPr>
        <w:t xml:space="preserve"> is high</w:t>
      </w:r>
      <w:r w:rsidRPr="00517534">
        <w:rPr>
          <w:lang w:val="en-GB"/>
        </w:rPr>
        <w:t xml:space="preserve">. </w:t>
      </w:r>
    </w:p>
    <w:p w14:paraId="4A648D04" w14:textId="5B6AF2D4" w:rsidR="008C1DE2" w:rsidRPr="00517534" w:rsidRDefault="008C1DE2" w:rsidP="002D3EE0">
      <w:pPr>
        <w:ind w:firstLine="708"/>
        <w:rPr>
          <w:lang w:val="en-GB"/>
        </w:rPr>
      </w:pPr>
      <w:r w:rsidRPr="00517534">
        <w:rPr>
          <w:lang w:val="en-GB"/>
        </w:rPr>
        <w:t>The cluster shares common socio-economi</w:t>
      </w:r>
      <w:r w:rsidR="00B63340" w:rsidRPr="00517534">
        <w:rPr>
          <w:lang w:val="en-GB"/>
        </w:rPr>
        <w:t xml:space="preserve">c and historical </w:t>
      </w:r>
      <w:r w:rsidR="00546E97" w:rsidRPr="00517534">
        <w:rPr>
          <w:lang w:val="en-GB"/>
        </w:rPr>
        <w:t>traits, such as</w:t>
      </w:r>
      <w:r w:rsidRPr="00517534">
        <w:rPr>
          <w:lang w:val="en-GB"/>
        </w:rPr>
        <w:t xml:space="preserve"> </w:t>
      </w:r>
      <w:r w:rsidR="00546E97" w:rsidRPr="00517534">
        <w:rPr>
          <w:lang w:val="en-GB"/>
        </w:rPr>
        <w:t>l</w:t>
      </w:r>
      <w:r w:rsidRPr="00517534">
        <w:rPr>
          <w:lang w:val="en-GB"/>
        </w:rPr>
        <w:t>ate industriali</w:t>
      </w:r>
      <w:r w:rsidR="005F26A1">
        <w:rPr>
          <w:lang w:val="en-GB"/>
        </w:rPr>
        <w:t>z</w:t>
      </w:r>
      <w:r w:rsidRPr="00517534">
        <w:rPr>
          <w:lang w:val="en-GB"/>
        </w:rPr>
        <w:t>ation, labour market segmentation</w:t>
      </w:r>
      <w:r w:rsidR="00546E97" w:rsidRPr="00517534">
        <w:rPr>
          <w:lang w:val="en-GB"/>
        </w:rPr>
        <w:t>,</w:t>
      </w:r>
      <w:r w:rsidRPr="00517534">
        <w:rPr>
          <w:lang w:val="en-GB"/>
        </w:rPr>
        <w:t xml:space="preserve"> large shadow econom</w:t>
      </w:r>
      <w:r w:rsidR="00546E97" w:rsidRPr="00517534">
        <w:rPr>
          <w:lang w:val="en-GB"/>
        </w:rPr>
        <w:t>ies as well as</w:t>
      </w:r>
      <w:r w:rsidRPr="00517534">
        <w:rPr>
          <w:lang w:val="en-GB"/>
        </w:rPr>
        <w:t xml:space="preserve"> a recent memory of colonial rule or non-democratic regimes</w:t>
      </w:r>
      <w:r w:rsidR="00546E97" w:rsidRPr="00517534">
        <w:rPr>
          <w:lang w:val="en-GB"/>
        </w:rPr>
        <w:t>.</w:t>
      </w:r>
      <w:r w:rsidRPr="00517534">
        <w:rPr>
          <w:lang w:val="en-GB"/>
        </w:rPr>
        <w:t xml:space="preserve"> </w:t>
      </w:r>
      <w:r w:rsidR="00546E97" w:rsidRPr="00517534">
        <w:rPr>
          <w:lang w:val="en-GB"/>
        </w:rPr>
        <w:t>W</w:t>
      </w:r>
      <w:r w:rsidRPr="00517534">
        <w:rPr>
          <w:lang w:val="en-GB"/>
        </w:rPr>
        <w:t>eak central states with ineffective public bureaucracies</w:t>
      </w:r>
      <w:r w:rsidR="00546E97" w:rsidRPr="00517534">
        <w:rPr>
          <w:lang w:val="en-GB"/>
        </w:rPr>
        <w:t xml:space="preserve"> go hand-in-hand with patron-client relations</w:t>
      </w:r>
      <w:r w:rsidRPr="00517534">
        <w:rPr>
          <w:lang w:val="en-GB"/>
        </w:rPr>
        <w:t xml:space="preserve"> </w:t>
      </w:r>
      <w:r w:rsidR="00B63340" w:rsidRPr="00517534">
        <w:rPr>
          <w:lang w:val="en-GB"/>
        </w:rPr>
        <w:t xml:space="preserve">(Gal, 2010). </w:t>
      </w:r>
      <w:r w:rsidR="00546E97" w:rsidRPr="00517534">
        <w:rPr>
          <w:lang w:val="en-GB"/>
        </w:rPr>
        <w:t xml:space="preserve">Religion and the traditional family play a </w:t>
      </w:r>
      <w:r w:rsidRPr="00517534">
        <w:rPr>
          <w:lang w:val="en-GB"/>
        </w:rPr>
        <w:t>prominent role.</w:t>
      </w:r>
    </w:p>
    <w:p w14:paraId="0E82B031" w14:textId="42AED568" w:rsidR="008C1DE2" w:rsidRPr="00517534" w:rsidRDefault="00995DD8" w:rsidP="00995DD8">
      <w:pPr>
        <w:ind w:firstLine="708"/>
        <w:rPr>
          <w:lang w:val="en-GB"/>
        </w:rPr>
      </w:pPr>
      <w:r w:rsidRPr="00517534">
        <w:rPr>
          <w:lang w:val="en-GB"/>
        </w:rPr>
        <w:t>There is, however, a major difference</w:t>
      </w:r>
      <w:r w:rsidR="005F26A1">
        <w:rPr>
          <w:lang w:val="en-GB"/>
        </w:rPr>
        <w:t xml:space="preserve"> between Kosovo and the rest</w:t>
      </w:r>
      <w:r w:rsidRPr="00517534">
        <w:rPr>
          <w:lang w:val="en-GB"/>
        </w:rPr>
        <w:t>. F</w:t>
      </w:r>
      <w:r w:rsidR="008C1DE2" w:rsidRPr="00517534">
        <w:rPr>
          <w:lang w:val="en-GB"/>
        </w:rPr>
        <w:t xml:space="preserve">ollowing the conflict with Serbia in 1998-99, under the aegis of the United Nations Interim Administration Mission in Kosovo (UNMIK) acting as an international civilian administration, several </w:t>
      </w:r>
      <w:r w:rsidRPr="00517534">
        <w:rPr>
          <w:lang w:val="en-GB"/>
        </w:rPr>
        <w:t xml:space="preserve">Kosovar </w:t>
      </w:r>
      <w:r w:rsidR="008C1DE2" w:rsidRPr="00517534">
        <w:rPr>
          <w:lang w:val="en-GB"/>
        </w:rPr>
        <w:t>social security institutions have been externally</w:t>
      </w:r>
      <w:r w:rsidRPr="00517534">
        <w:rPr>
          <w:lang w:val="en-GB"/>
        </w:rPr>
        <w:t xml:space="preserve"> </w:t>
      </w:r>
      <w:r w:rsidR="0064570B" w:rsidRPr="00517534">
        <w:rPr>
          <w:lang w:val="en-GB"/>
        </w:rPr>
        <w:t>imposed</w:t>
      </w:r>
      <w:r w:rsidR="008C1DE2" w:rsidRPr="00517534">
        <w:rPr>
          <w:lang w:val="en-GB"/>
        </w:rPr>
        <w:t xml:space="preserve">. </w:t>
      </w:r>
    </w:p>
    <w:p w14:paraId="46AE0431" w14:textId="4E20F99E" w:rsidR="008C1DE2" w:rsidRPr="00517534" w:rsidRDefault="00995DD8" w:rsidP="002D3EE0">
      <w:pPr>
        <w:ind w:firstLine="708"/>
        <w:rPr>
          <w:lang w:val="en-GB"/>
        </w:rPr>
      </w:pPr>
      <w:r w:rsidRPr="00517534">
        <w:rPr>
          <w:lang w:val="en-GB"/>
        </w:rPr>
        <w:t>C</w:t>
      </w:r>
      <w:r w:rsidR="008C1DE2" w:rsidRPr="00517534">
        <w:rPr>
          <w:lang w:val="en-GB"/>
        </w:rPr>
        <w:t xml:space="preserve">onsultants funded by </w:t>
      </w:r>
      <w:r w:rsidR="005F26A1">
        <w:rPr>
          <w:lang w:val="en-GB"/>
        </w:rPr>
        <w:t xml:space="preserve">the </w:t>
      </w:r>
      <w:r w:rsidR="008C1DE2" w:rsidRPr="00517534">
        <w:rPr>
          <w:lang w:val="en-GB"/>
        </w:rPr>
        <w:t>United States Agency for International Development (USAID), with the involvement from representatives of UNMIK, the European Union (EU), the International Monetary Fund (IMF), the World Bank, the UK’s DFID (Department for International Development) and the International Labour Organi</w:t>
      </w:r>
      <w:r w:rsidR="005F26A1">
        <w:rPr>
          <w:lang w:val="en-GB"/>
        </w:rPr>
        <w:t>z</w:t>
      </w:r>
      <w:r w:rsidR="008C1DE2" w:rsidRPr="00517534">
        <w:rPr>
          <w:lang w:val="en-GB"/>
        </w:rPr>
        <w:t>ation (ILO)</w:t>
      </w:r>
      <w:r w:rsidRPr="00517534">
        <w:rPr>
          <w:lang w:val="en-GB"/>
        </w:rPr>
        <w:t xml:space="preserve"> designed its multi-pillar pension system.</w:t>
      </w:r>
      <w:r w:rsidR="008C1DE2" w:rsidRPr="00517534">
        <w:rPr>
          <w:lang w:val="en-GB"/>
        </w:rPr>
        <w:t xml:space="preserve"> </w:t>
      </w:r>
    </w:p>
    <w:p w14:paraId="1CE3B514" w14:textId="1296DD06" w:rsidR="008C1DE2" w:rsidRPr="00517534" w:rsidRDefault="00995DD8" w:rsidP="002D3EE0">
      <w:pPr>
        <w:ind w:firstLine="708"/>
        <w:rPr>
          <w:lang w:val="en-GB"/>
        </w:rPr>
      </w:pPr>
      <w:r w:rsidRPr="00517534">
        <w:rPr>
          <w:lang w:val="en-GB"/>
        </w:rPr>
        <w:t>The</w:t>
      </w:r>
      <w:r w:rsidR="008C1DE2" w:rsidRPr="00517534">
        <w:rPr>
          <w:lang w:val="en-GB"/>
        </w:rPr>
        <w:t xml:space="preserve"> zero pillar </w:t>
      </w:r>
      <w:r w:rsidRPr="00517534">
        <w:rPr>
          <w:lang w:val="en-GB"/>
        </w:rPr>
        <w:t>is</w:t>
      </w:r>
      <w:r w:rsidR="008C1DE2" w:rsidRPr="00517534">
        <w:rPr>
          <w:lang w:val="en-GB"/>
        </w:rPr>
        <w:t xml:space="preserve"> a universal non-means-tested basic pension for the whole resident population aged 65 and above</w:t>
      </w:r>
      <w:r w:rsidRPr="00517534">
        <w:rPr>
          <w:lang w:val="en-GB"/>
        </w:rPr>
        <w:t xml:space="preserve">, created to supplant the country’s adverse labour market conditions. It is </w:t>
      </w:r>
      <w:r w:rsidR="008C1DE2" w:rsidRPr="00517534">
        <w:rPr>
          <w:lang w:val="en-GB"/>
        </w:rPr>
        <w:t xml:space="preserve">administratively </w:t>
      </w:r>
      <w:r w:rsidR="0064570B" w:rsidRPr="00517534">
        <w:rPr>
          <w:lang w:val="en-GB"/>
        </w:rPr>
        <w:t>simple,</w:t>
      </w:r>
      <w:r w:rsidR="008C1DE2" w:rsidRPr="00517534">
        <w:rPr>
          <w:lang w:val="en-GB"/>
        </w:rPr>
        <w:t xml:space="preserve"> </w:t>
      </w:r>
      <w:r w:rsidRPr="00517534">
        <w:rPr>
          <w:lang w:val="en-GB"/>
        </w:rPr>
        <w:t>and i</w:t>
      </w:r>
      <w:r w:rsidR="008C1DE2" w:rsidRPr="00517534">
        <w:rPr>
          <w:lang w:val="en-GB"/>
        </w:rPr>
        <w:t xml:space="preserve">ts universal character is </w:t>
      </w:r>
      <w:r w:rsidRPr="00517534">
        <w:rPr>
          <w:lang w:val="en-GB"/>
        </w:rPr>
        <w:t xml:space="preserve">rather unique </w:t>
      </w:r>
      <w:r w:rsidR="0064570B" w:rsidRPr="00517534">
        <w:rPr>
          <w:lang w:val="en-GB"/>
        </w:rPr>
        <w:t>w</w:t>
      </w:r>
      <w:r w:rsidR="008C1DE2" w:rsidRPr="00517534">
        <w:rPr>
          <w:lang w:val="en-GB"/>
        </w:rPr>
        <w:t>ithin the Mediterranean cluster</w:t>
      </w:r>
      <w:r w:rsidR="0064570B" w:rsidRPr="00517534">
        <w:rPr>
          <w:lang w:val="en-GB"/>
        </w:rPr>
        <w:t>. Here,</w:t>
      </w:r>
      <w:r w:rsidR="008C1DE2" w:rsidRPr="00517534">
        <w:rPr>
          <w:lang w:val="en-GB"/>
        </w:rPr>
        <w:t xml:space="preserve"> pension schemes </w:t>
      </w:r>
      <w:r w:rsidRPr="00517534">
        <w:rPr>
          <w:lang w:val="en-GB"/>
        </w:rPr>
        <w:t>are fragmented</w:t>
      </w:r>
      <w:r w:rsidR="008C1DE2" w:rsidRPr="00517534">
        <w:rPr>
          <w:lang w:val="en-GB"/>
        </w:rPr>
        <w:t xml:space="preserve"> </w:t>
      </w:r>
      <w:r w:rsidRPr="00517534">
        <w:rPr>
          <w:lang w:val="en-GB"/>
        </w:rPr>
        <w:t>across occupational and other lines</w:t>
      </w:r>
      <w:r w:rsidR="0064570B" w:rsidRPr="00517534">
        <w:rPr>
          <w:lang w:val="en-GB"/>
        </w:rPr>
        <w:t>,</w:t>
      </w:r>
      <w:r w:rsidRPr="00517534">
        <w:rPr>
          <w:lang w:val="en-GB"/>
        </w:rPr>
        <w:t xml:space="preserve"> the result of </w:t>
      </w:r>
      <w:proofErr w:type="spellStart"/>
      <w:r w:rsidR="008C1DE2" w:rsidRPr="00517534">
        <w:rPr>
          <w:lang w:val="en-GB"/>
        </w:rPr>
        <w:t>clientelistic</w:t>
      </w:r>
      <w:proofErr w:type="spellEnd"/>
      <w:r w:rsidR="008C1DE2" w:rsidRPr="00517534">
        <w:rPr>
          <w:lang w:val="en-GB"/>
        </w:rPr>
        <w:t xml:space="preserve"> party competition, </w:t>
      </w:r>
      <w:r w:rsidRPr="00517534">
        <w:rPr>
          <w:lang w:val="en-GB"/>
        </w:rPr>
        <w:t xml:space="preserve">according to </w:t>
      </w:r>
      <w:r w:rsidR="008C1DE2" w:rsidRPr="00517534">
        <w:rPr>
          <w:lang w:val="en-GB"/>
        </w:rPr>
        <w:t xml:space="preserve">which </w:t>
      </w:r>
      <w:r w:rsidRPr="00517534">
        <w:rPr>
          <w:lang w:val="en-GB"/>
        </w:rPr>
        <w:t>benefits are attributed to</w:t>
      </w:r>
      <w:r w:rsidR="008C1DE2" w:rsidRPr="00517534">
        <w:rPr>
          <w:lang w:val="en-GB"/>
        </w:rPr>
        <w:t xml:space="preserve"> specific groups in exchange for political gain (</w:t>
      </w:r>
      <w:proofErr w:type="spellStart"/>
      <w:r w:rsidR="008C1DE2" w:rsidRPr="00517534">
        <w:rPr>
          <w:lang w:val="en-GB"/>
        </w:rPr>
        <w:t>Ferrera</w:t>
      </w:r>
      <w:proofErr w:type="spellEnd"/>
      <w:r w:rsidR="008C1DE2" w:rsidRPr="00517534">
        <w:rPr>
          <w:lang w:val="en-GB"/>
        </w:rPr>
        <w:t xml:space="preserve">, 1996). </w:t>
      </w:r>
    </w:p>
    <w:p w14:paraId="66A67B9B" w14:textId="491EF56A" w:rsidR="008C1DE2" w:rsidRPr="00517534" w:rsidRDefault="00995DD8" w:rsidP="002D3EE0">
      <w:pPr>
        <w:ind w:firstLine="708"/>
        <w:rPr>
          <w:lang w:val="en-GB"/>
        </w:rPr>
      </w:pPr>
      <w:r w:rsidRPr="00517534">
        <w:rPr>
          <w:lang w:val="en-GB"/>
        </w:rPr>
        <w:t>A</w:t>
      </w:r>
      <w:r w:rsidR="008C1DE2" w:rsidRPr="00517534">
        <w:rPr>
          <w:lang w:val="en-GB"/>
        </w:rPr>
        <w:t>fter Kosovo declared independence in 2008, benefits clientelism, i.e. the exchange of monetary rewards for political support (</w:t>
      </w:r>
      <w:proofErr w:type="spellStart"/>
      <w:r w:rsidR="008C1DE2" w:rsidRPr="00517534">
        <w:rPr>
          <w:lang w:val="en-GB"/>
        </w:rPr>
        <w:t>Taborda</w:t>
      </w:r>
      <w:proofErr w:type="spellEnd"/>
      <w:r w:rsidR="008C1DE2" w:rsidRPr="00517534">
        <w:rPr>
          <w:lang w:val="en-GB"/>
        </w:rPr>
        <w:t>, 2017), started affecting all publicly</w:t>
      </w:r>
      <w:r w:rsidR="0064570B" w:rsidRPr="00517534">
        <w:rPr>
          <w:lang w:val="en-GB"/>
        </w:rPr>
        <w:t>-</w:t>
      </w:r>
      <w:r w:rsidR="008C1DE2" w:rsidRPr="00517534">
        <w:rPr>
          <w:lang w:val="en-GB"/>
        </w:rPr>
        <w:t xml:space="preserve">financed sectors. </w:t>
      </w:r>
      <w:r w:rsidR="0064570B" w:rsidRPr="00517534">
        <w:rPr>
          <w:lang w:val="en-GB"/>
        </w:rPr>
        <w:t>Following in the steps of several other ex-Yugoslav republics, s</w:t>
      </w:r>
      <w:r w:rsidR="008C1DE2" w:rsidRPr="00517534">
        <w:rPr>
          <w:lang w:val="en-GB"/>
        </w:rPr>
        <w:t xml:space="preserve">pecial pension schemes </w:t>
      </w:r>
      <w:r w:rsidRPr="00517534">
        <w:rPr>
          <w:lang w:val="en-GB"/>
        </w:rPr>
        <w:t>mushroomed</w:t>
      </w:r>
      <w:r w:rsidR="008C1DE2" w:rsidRPr="00517534">
        <w:rPr>
          <w:lang w:val="en-GB"/>
        </w:rPr>
        <w:t xml:space="preserve"> and benefits to narrow constituencies, </w:t>
      </w:r>
      <w:r w:rsidR="00492B3A" w:rsidRPr="00517534">
        <w:rPr>
          <w:lang w:val="en-GB"/>
        </w:rPr>
        <w:t>such as</w:t>
      </w:r>
      <w:r w:rsidR="008C1DE2" w:rsidRPr="00517534">
        <w:rPr>
          <w:lang w:val="en-GB"/>
        </w:rPr>
        <w:t xml:space="preserve"> the independence war veterans, ballooned</w:t>
      </w:r>
      <w:r w:rsidR="00492B3A" w:rsidRPr="00517534">
        <w:rPr>
          <w:lang w:val="en-GB"/>
        </w:rPr>
        <w:t xml:space="preserve"> </w:t>
      </w:r>
      <w:r w:rsidR="008C1DE2" w:rsidRPr="00517534">
        <w:rPr>
          <w:lang w:val="en-GB"/>
        </w:rPr>
        <w:t xml:space="preserve">(Bartlett, </w:t>
      </w:r>
      <w:r w:rsidR="00B63340" w:rsidRPr="00517534">
        <w:rPr>
          <w:lang w:val="en-GB"/>
        </w:rPr>
        <w:t>2013;</w:t>
      </w:r>
      <w:r w:rsidR="008C1DE2" w:rsidRPr="00517534">
        <w:rPr>
          <w:lang w:val="en-GB"/>
        </w:rPr>
        <w:t xml:space="preserve"> Guardiancich, 2013).</w:t>
      </w:r>
    </w:p>
    <w:p w14:paraId="1BE0E41E" w14:textId="6681284F" w:rsidR="008C1DE2" w:rsidRPr="00517534" w:rsidRDefault="00492B3A" w:rsidP="002D3EE0">
      <w:pPr>
        <w:ind w:firstLine="708"/>
        <w:rPr>
          <w:lang w:val="en-GB"/>
        </w:rPr>
      </w:pPr>
      <w:r w:rsidRPr="00517534">
        <w:rPr>
          <w:lang w:val="en-GB"/>
        </w:rPr>
        <w:t xml:space="preserve">The IMF (2015; 2016) voiced harsh criticism and </w:t>
      </w:r>
      <w:r w:rsidR="008C1DE2" w:rsidRPr="00517534">
        <w:rPr>
          <w:lang w:val="en-GB"/>
        </w:rPr>
        <w:t xml:space="preserve">demanded </w:t>
      </w:r>
      <w:r w:rsidRPr="00517534">
        <w:rPr>
          <w:lang w:val="en-GB"/>
        </w:rPr>
        <w:t>cuts</w:t>
      </w:r>
      <w:r w:rsidR="008C1DE2" w:rsidRPr="00517534">
        <w:rPr>
          <w:lang w:val="en-GB"/>
        </w:rPr>
        <w:t xml:space="preserve"> </w:t>
      </w:r>
      <w:r w:rsidR="0064570B" w:rsidRPr="00517534">
        <w:rPr>
          <w:lang w:val="en-GB"/>
        </w:rPr>
        <w:t>in</w:t>
      </w:r>
      <w:r w:rsidR="008C1DE2" w:rsidRPr="00517534">
        <w:rPr>
          <w:lang w:val="en-GB"/>
        </w:rPr>
        <w:t xml:space="preserve"> compl</w:t>
      </w:r>
      <w:r w:rsidR="0064570B" w:rsidRPr="00517534">
        <w:rPr>
          <w:lang w:val="en-GB"/>
        </w:rPr>
        <w:t>iance</w:t>
      </w:r>
      <w:r w:rsidR="008C1DE2" w:rsidRPr="00517534">
        <w:rPr>
          <w:lang w:val="en-GB"/>
        </w:rPr>
        <w:t xml:space="preserve"> with the Stand-By Arrangement (SBA) agreed in 2015. Despite the admonishments, the Ministry for Labour and Social Welfare proposed to partly dismantle the universal basic pension in order to free up resources to finance these additional schemes. The draft legislation included the introduction of means</w:t>
      </w:r>
      <w:r w:rsidR="005F26A1">
        <w:rPr>
          <w:lang w:val="en-GB"/>
        </w:rPr>
        <w:t>-</w:t>
      </w:r>
      <w:r w:rsidR="008C1DE2" w:rsidRPr="00517534">
        <w:rPr>
          <w:lang w:val="en-GB"/>
        </w:rPr>
        <w:t>testing</w:t>
      </w:r>
      <w:r w:rsidRPr="00517534">
        <w:rPr>
          <w:lang w:val="en-GB"/>
        </w:rPr>
        <w:t xml:space="preserve">, </w:t>
      </w:r>
      <w:r w:rsidR="008C1DE2" w:rsidRPr="00517534">
        <w:rPr>
          <w:lang w:val="en-GB"/>
        </w:rPr>
        <w:t xml:space="preserve">which would emasculate the pension system’s </w:t>
      </w:r>
      <w:r w:rsidRPr="00517534">
        <w:rPr>
          <w:lang w:val="en-GB"/>
        </w:rPr>
        <w:t>universalism</w:t>
      </w:r>
      <w:r w:rsidR="008C1DE2" w:rsidRPr="00517534">
        <w:rPr>
          <w:lang w:val="en-GB"/>
        </w:rPr>
        <w:t>.</w:t>
      </w:r>
    </w:p>
    <w:p w14:paraId="1D9C2193" w14:textId="77777777" w:rsidR="008C1DE2" w:rsidRPr="00517534" w:rsidRDefault="00492B3A" w:rsidP="002D3EE0">
      <w:pPr>
        <w:ind w:firstLine="708"/>
        <w:rPr>
          <w:lang w:val="en-GB"/>
        </w:rPr>
      </w:pPr>
      <w:r w:rsidRPr="00517534">
        <w:rPr>
          <w:lang w:val="en-GB"/>
        </w:rPr>
        <w:t>As w</w:t>
      </w:r>
      <w:r w:rsidR="008C1DE2" w:rsidRPr="00517534">
        <w:rPr>
          <w:lang w:val="en-GB"/>
        </w:rPr>
        <w:t>elfare</w:t>
      </w:r>
      <w:r w:rsidRPr="00517534">
        <w:rPr>
          <w:lang w:val="en-GB"/>
        </w:rPr>
        <w:t xml:space="preserve"> state retrenchment</w:t>
      </w:r>
      <w:r w:rsidR="008C1DE2" w:rsidRPr="00517534">
        <w:rPr>
          <w:lang w:val="en-GB"/>
        </w:rPr>
        <w:t xml:space="preserve"> </w:t>
      </w:r>
      <w:r w:rsidRPr="00517534">
        <w:rPr>
          <w:lang w:val="en-GB"/>
        </w:rPr>
        <w:t xml:space="preserve">can be </w:t>
      </w:r>
      <w:r w:rsidR="008C1DE2" w:rsidRPr="00517534">
        <w:rPr>
          <w:lang w:val="en-GB"/>
        </w:rPr>
        <w:t xml:space="preserve">politically risky (Weaver, 1986; Pierson, 1994), this contribution explains </w:t>
      </w:r>
      <w:r w:rsidRPr="00517534">
        <w:rPr>
          <w:lang w:val="en-GB"/>
        </w:rPr>
        <w:t>that</w:t>
      </w:r>
      <w:r w:rsidR="008C1DE2" w:rsidRPr="00517534">
        <w:rPr>
          <w:lang w:val="en-GB"/>
        </w:rPr>
        <w:t xml:space="preserve"> </w:t>
      </w:r>
      <w:r w:rsidRPr="00517534">
        <w:rPr>
          <w:lang w:val="en-GB"/>
        </w:rPr>
        <w:t xml:space="preserve">Kosovar basic pensions </w:t>
      </w:r>
      <w:r w:rsidR="008C1DE2" w:rsidRPr="00517534">
        <w:rPr>
          <w:lang w:val="en-GB"/>
        </w:rPr>
        <w:t>ha</w:t>
      </w:r>
      <w:r w:rsidRPr="00517534">
        <w:rPr>
          <w:lang w:val="en-GB"/>
        </w:rPr>
        <w:t>ve</w:t>
      </w:r>
      <w:r w:rsidR="008C1DE2" w:rsidRPr="00517534">
        <w:rPr>
          <w:lang w:val="en-GB"/>
        </w:rPr>
        <w:t xml:space="preserve"> been targeted</w:t>
      </w:r>
      <w:r w:rsidRPr="00517534">
        <w:rPr>
          <w:lang w:val="en-GB"/>
        </w:rPr>
        <w:t xml:space="preserve"> due to their </w:t>
      </w:r>
      <w:r w:rsidR="008C1DE2" w:rsidRPr="00517534">
        <w:rPr>
          <w:lang w:val="en-GB"/>
        </w:rPr>
        <w:t>low political salience</w:t>
      </w:r>
      <w:r w:rsidRPr="00517534">
        <w:rPr>
          <w:lang w:val="en-GB"/>
        </w:rPr>
        <w:t>.</w:t>
      </w:r>
      <w:r w:rsidR="008C1DE2" w:rsidRPr="00517534">
        <w:rPr>
          <w:lang w:val="en-GB"/>
        </w:rPr>
        <w:t xml:space="preserve"> </w:t>
      </w:r>
      <w:r w:rsidRPr="00517534">
        <w:rPr>
          <w:lang w:val="en-GB"/>
        </w:rPr>
        <w:t>U</w:t>
      </w:r>
      <w:r w:rsidR="008C1DE2" w:rsidRPr="00517534">
        <w:rPr>
          <w:lang w:val="en-GB"/>
        </w:rPr>
        <w:t>niversal scheme</w:t>
      </w:r>
      <w:r w:rsidRPr="00517534">
        <w:rPr>
          <w:lang w:val="en-GB"/>
        </w:rPr>
        <w:t>s</w:t>
      </w:r>
      <w:r w:rsidR="008C1DE2" w:rsidRPr="00517534">
        <w:rPr>
          <w:lang w:val="en-GB"/>
        </w:rPr>
        <w:t xml:space="preserve"> can be used for benefits clientelism only at a high cost (rewards </w:t>
      </w:r>
      <w:r w:rsidRPr="00517534">
        <w:rPr>
          <w:lang w:val="en-GB"/>
        </w:rPr>
        <w:t xml:space="preserve">have to be disbursed </w:t>
      </w:r>
      <w:r w:rsidR="008C1DE2" w:rsidRPr="00517534">
        <w:rPr>
          <w:lang w:val="en-GB"/>
        </w:rPr>
        <w:t xml:space="preserve">to everyone) and with uncertain results (as </w:t>
      </w:r>
      <w:r w:rsidRPr="00517534">
        <w:rPr>
          <w:lang w:val="en-GB"/>
        </w:rPr>
        <w:t>targeting cannot be narrow). Hence,</w:t>
      </w:r>
      <w:r w:rsidR="005A3D02" w:rsidRPr="00517534">
        <w:rPr>
          <w:lang w:val="en-GB"/>
        </w:rPr>
        <w:t xml:space="preserve"> they represent a </w:t>
      </w:r>
      <w:r w:rsidR="008C1DE2" w:rsidRPr="00517534">
        <w:rPr>
          <w:i/>
          <w:lang w:val="en-GB"/>
        </w:rPr>
        <w:t>path of least resistance</w:t>
      </w:r>
      <w:r w:rsidR="008C1DE2" w:rsidRPr="00517534">
        <w:rPr>
          <w:lang w:val="en-GB"/>
        </w:rPr>
        <w:t xml:space="preserve"> to free up readily available resources (</w:t>
      </w:r>
      <w:proofErr w:type="spellStart"/>
      <w:r w:rsidR="008C1DE2" w:rsidRPr="00517534">
        <w:rPr>
          <w:lang w:val="en-GB"/>
        </w:rPr>
        <w:t>Bonoli</w:t>
      </w:r>
      <w:proofErr w:type="spellEnd"/>
      <w:r w:rsidR="008C1DE2" w:rsidRPr="00517534">
        <w:rPr>
          <w:lang w:val="en-GB"/>
        </w:rPr>
        <w:t xml:space="preserve">, 2012). </w:t>
      </w:r>
    </w:p>
    <w:p w14:paraId="09C0D39B" w14:textId="65F301D9" w:rsidR="008C1DE2" w:rsidRPr="00517534" w:rsidRDefault="0064570B" w:rsidP="002D3EE0">
      <w:pPr>
        <w:ind w:firstLine="708"/>
        <w:rPr>
          <w:lang w:val="en-GB"/>
        </w:rPr>
      </w:pPr>
      <w:r w:rsidRPr="00517534">
        <w:rPr>
          <w:lang w:val="en-GB"/>
        </w:rPr>
        <w:t>Dismantling the basic pension</w:t>
      </w:r>
      <w:r w:rsidR="008C1DE2" w:rsidRPr="00517534">
        <w:rPr>
          <w:lang w:val="en-GB"/>
        </w:rPr>
        <w:t xml:space="preserve"> is potentially harmful to the poorest strata of the elderly population and out of touch with </w:t>
      </w:r>
      <w:r w:rsidR="00EC007D" w:rsidRPr="00517534">
        <w:rPr>
          <w:lang w:val="en-GB"/>
        </w:rPr>
        <w:t xml:space="preserve">the state of </w:t>
      </w:r>
      <w:r w:rsidR="008C1DE2" w:rsidRPr="00517534">
        <w:rPr>
          <w:lang w:val="en-GB"/>
        </w:rPr>
        <w:t xml:space="preserve">Kosovo’s </w:t>
      </w:r>
      <w:r w:rsidR="00EC007D" w:rsidRPr="00517534">
        <w:rPr>
          <w:lang w:val="en-GB"/>
        </w:rPr>
        <w:t>workforce</w:t>
      </w:r>
      <w:r w:rsidRPr="00517534">
        <w:rPr>
          <w:lang w:val="en-GB"/>
        </w:rPr>
        <w:t>. In response,</w:t>
      </w:r>
      <w:r w:rsidR="008C1DE2" w:rsidRPr="00517534">
        <w:rPr>
          <w:lang w:val="en-GB"/>
        </w:rPr>
        <w:t xml:space="preserve"> </w:t>
      </w:r>
      <w:r w:rsidR="00EC007D" w:rsidRPr="00517534">
        <w:rPr>
          <w:lang w:val="en-GB"/>
        </w:rPr>
        <w:t>this article</w:t>
      </w:r>
      <w:r w:rsidR="008C1DE2" w:rsidRPr="00517534">
        <w:rPr>
          <w:lang w:val="en-GB"/>
        </w:rPr>
        <w:t xml:space="preserve"> recommends a </w:t>
      </w:r>
      <w:r w:rsidR="00FC4598" w:rsidRPr="00517534">
        <w:rPr>
          <w:lang w:val="en-GB"/>
        </w:rPr>
        <w:t>number of different</w:t>
      </w:r>
      <w:r w:rsidR="008C1DE2" w:rsidRPr="00517534">
        <w:rPr>
          <w:lang w:val="en-GB"/>
        </w:rPr>
        <w:t xml:space="preserve"> reform strateg</w:t>
      </w:r>
      <w:r w:rsidR="00FC4598" w:rsidRPr="00517534">
        <w:rPr>
          <w:lang w:val="en-GB"/>
        </w:rPr>
        <w:t>ies</w:t>
      </w:r>
      <w:r w:rsidR="008C1DE2" w:rsidRPr="00517534">
        <w:rPr>
          <w:lang w:val="en-GB"/>
        </w:rPr>
        <w:t xml:space="preserve">. </w:t>
      </w:r>
    </w:p>
    <w:p w14:paraId="4582948F" w14:textId="77777777" w:rsidR="008C1DE2" w:rsidRPr="00517534" w:rsidRDefault="008C1DE2" w:rsidP="004B5482">
      <w:pPr>
        <w:pStyle w:val="Heading1"/>
      </w:pPr>
      <w:r w:rsidRPr="00517534">
        <w:t>The Kosovar pension system</w:t>
      </w:r>
    </w:p>
    <w:p w14:paraId="75578604" w14:textId="74E03F7D" w:rsidR="008C1DE2" w:rsidRPr="00517534" w:rsidRDefault="008C1DE2" w:rsidP="002D3EE0">
      <w:pPr>
        <w:ind w:firstLine="708"/>
        <w:rPr>
          <w:lang w:val="en-GB"/>
        </w:rPr>
      </w:pPr>
      <w:r w:rsidRPr="00517534">
        <w:rPr>
          <w:lang w:val="en-GB"/>
        </w:rPr>
        <w:t>There are several reasons why Kosovo</w:t>
      </w:r>
      <w:r w:rsidR="00FC4598" w:rsidRPr="00517534">
        <w:rPr>
          <w:lang w:val="en-GB"/>
        </w:rPr>
        <w:t xml:space="preserve"> introduced a </w:t>
      </w:r>
      <w:r w:rsidRPr="00517534">
        <w:rPr>
          <w:lang w:val="en-GB"/>
        </w:rPr>
        <w:t xml:space="preserve">universal non-means-tested </w:t>
      </w:r>
      <w:r w:rsidR="00FC4598" w:rsidRPr="00517534">
        <w:rPr>
          <w:lang w:val="en-GB"/>
        </w:rPr>
        <w:t xml:space="preserve">zero pillar. </w:t>
      </w:r>
      <w:r w:rsidR="00730126" w:rsidRPr="00517534">
        <w:rPr>
          <w:lang w:val="en-GB"/>
        </w:rPr>
        <w:t>The historical legacies had a huge toll on Kosovar social protection</w:t>
      </w:r>
      <w:r w:rsidR="0064570B" w:rsidRPr="00517534">
        <w:rPr>
          <w:lang w:val="en-GB"/>
        </w:rPr>
        <w:t xml:space="preserve"> (</w:t>
      </w:r>
      <w:proofErr w:type="spellStart"/>
      <w:r w:rsidR="0064570B" w:rsidRPr="00517534">
        <w:rPr>
          <w:lang w:val="en-GB"/>
        </w:rPr>
        <w:t>Gubbels</w:t>
      </w:r>
      <w:proofErr w:type="spellEnd"/>
      <w:r w:rsidR="0064570B" w:rsidRPr="00517534">
        <w:rPr>
          <w:lang w:val="en-GB"/>
        </w:rPr>
        <w:t xml:space="preserve"> et al., 2007)</w:t>
      </w:r>
      <w:r w:rsidRPr="00517534">
        <w:rPr>
          <w:lang w:val="en-GB"/>
        </w:rPr>
        <w:t xml:space="preserve">. </w:t>
      </w:r>
      <w:r w:rsidR="00730126" w:rsidRPr="00517534">
        <w:rPr>
          <w:lang w:val="en-GB"/>
        </w:rPr>
        <w:t xml:space="preserve">The Serbian offensive against Kosovar Albanians was particularly detrimental: not </w:t>
      </w:r>
      <w:r w:rsidR="00730126" w:rsidRPr="00517534">
        <w:rPr>
          <w:lang w:val="en-GB"/>
        </w:rPr>
        <w:lastRenderedPageBreak/>
        <w:t xml:space="preserve">only </w:t>
      </w:r>
      <w:r w:rsidRPr="00517534">
        <w:rPr>
          <w:lang w:val="en-GB"/>
        </w:rPr>
        <w:t xml:space="preserve">145 thousand </w:t>
      </w:r>
      <w:r w:rsidR="00730126" w:rsidRPr="00517534">
        <w:rPr>
          <w:lang w:val="en-GB"/>
        </w:rPr>
        <w:t>persons were fired</w:t>
      </w:r>
      <w:r w:rsidRPr="00517534">
        <w:rPr>
          <w:lang w:val="en-GB"/>
        </w:rPr>
        <w:t xml:space="preserve"> from civil administration posts, public services, and economic enterprises</w:t>
      </w:r>
      <w:r w:rsidR="00730126" w:rsidRPr="00517534">
        <w:rPr>
          <w:lang w:val="en-GB"/>
        </w:rPr>
        <w:t xml:space="preserve">, but also the authorities stopped paying benefits to ethnic Albanians (and the Yugoslav’s pension system covered </w:t>
      </w:r>
      <w:r w:rsidRPr="00517534">
        <w:rPr>
          <w:lang w:val="en-GB"/>
        </w:rPr>
        <w:t>fewer than half of the circa 110 thousand persons over 65</w:t>
      </w:r>
      <w:r w:rsidR="00730126" w:rsidRPr="00517534">
        <w:rPr>
          <w:lang w:val="en-GB"/>
        </w:rPr>
        <w:t>)</w:t>
      </w:r>
      <w:r w:rsidRPr="00517534">
        <w:rPr>
          <w:lang w:val="en-GB"/>
        </w:rPr>
        <w:t>.</w:t>
      </w:r>
      <w:r w:rsidR="00730126" w:rsidRPr="00517534">
        <w:rPr>
          <w:lang w:val="en-GB"/>
        </w:rPr>
        <w:t xml:space="preserve"> </w:t>
      </w:r>
      <w:r w:rsidR="0085213C" w:rsidRPr="00517534">
        <w:rPr>
          <w:lang w:val="en-GB"/>
        </w:rPr>
        <w:t>A</w:t>
      </w:r>
      <w:r w:rsidR="00730126" w:rsidRPr="00517534">
        <w:rPr>
          <w:lang w:val="en-GB"/>
        </w:rPr>
        <w:t xml:space="preserve"> NATO </w:t>
      </w:r>
      <w:r w:rsidRPr="00517534">
        <w:rPr>
          <w:lang w:val="en-GB"/>
        </w:rPr>
        <w:t xml:space="preserve">cruise missile partly destroyed the contributory records of working age Kosovars. </w:t>
      </w:r>
      <w:r w:rsidR="0085213C" w:rsidRPr="00517534">
        <w:rPr>
          <w:lang w:val="en-GB"/>
        </w:rPr>
        <w:t xml:space="preserve">Finally, Kosovar leaders were not eager to re-implement the Yugoslav pension system, as it was associated with the </w:t>
      </w:r>
      <w:proofErr w:type="spellStart"/>
      <w:r w:rsidR="0085213C" w:rsidRPr="00517534">
        <w:rPr>
          <w:lang w:val="en-GB"/>
        </w:rPr>
        <w:t>Milošević</w:t>
      </w:r>
      <w:proofErr w:type="spellEnd"/>
      <w:r w:rsidR="0085213C" w:rsidRPr="00517534">
        <w:rPr>
          <w:lang w:val="en-GB"/>
        </w:rPr>
        <w:t xml:space="preserve"> period.</w:t>
      </w:r>
    </w:p>
    <w:p w14:paraId="39BD3AEB" w14:textId="4E3D6626" w:rsidR="00017D6B" w:rsidRPr="00517534" w:rsidRDefault="006B2B4C" w:rsidP="002D3EE0">
      <w:pPr>
        <w:ind w:firstLine="708"/>
        <w:rPr>
          <w:lang w:val="en-GB"/>
        </w:rPr>
      </w:pPr>
      <w:r w:rsidRPr="00517534">
        <w:rPr>
          <w:lang w:val="en-GB"/>
        </w:rPr>
        <w:t>Unfavourable l</w:t>
      </w:r>
      <w:r w:rsidR="008C1DE2" w:rsidRPr="00517534">
        <w:rPr>
          <w:lang w:val="en-GB"/>
        </w:rPr>
        <w:t>abour market</w:t>
      </w:r>
      <w:r w:rsidRPr="00517534">
        <w:rPr>
          <w:lang w:val="en-GB"/>
        </w:rPr>
        <w:t xml:space="preserve"> indicators</w:t>
      </w:r>
      <w:r w:rsidR="008C1DE2" w:rsidRPr="00517534" w:rsidDel="00832FF1">
        <w:rPr>
          <w:lang w:val="en-GB"/>
        </w:rPr>
        <w:t xml:space="preserve"> </w:t>
      </w:r>
      <w:r w:rsidR="008C1DE2" w:rsidRPr="00517534">
        <w:rPr>
          <w:lang w:val="en-GB"/>
        </w:rPr>
        <w:t xml:space="preserve">affected the pension system’s design. </w:t>
      </w:r>
      <w:r w:rsidRPr="00517534">
        <w:rPr>
          <w:lang w:val="en-GB"/>
        </w:rPr>
        <w:t xml:space="preserve">The main problem is that </w:t>
      </w:r>
      <w:r w:rsidR="008C1DE2" w:rsidRPr="00517534">
        <w:rPr>
          <w:lang w:val="en-GB"/>
        </w:rPr>
        <w:t xml:space="preserve">few </w:t>
      </w:r>
      <w:r w:rsidR="0064570B" w:rsidRPr="00517534">
        <w:rPr>
          <w:lang w:val="en-GB"/>
        </w:rPr>
        <w:t xml:space="preserve">citizens </w:t>
      </w:r>
      <w:r w:rsidR="008C1DE2" w:rsidRPr="00517534">
        <w:rPr>
          <w:lang w:val="en-GB"/>
        </w:rPr>
        <w:t>regularly contribute to the social security system</w:t>
      </w:r>
      <w:r w:rsidRPr="00517534">
        <w:rPr>
          <w:lang w:val="en-GB"/>
        </w:rPr>
        <w:t>,</w:t>
      </w:r>
      <w:r w:rsidR="008C1DE2" w:rsidRPr="00517534">
        <w:rPr>
          <w:lang w:val="en-GB"/>
        </w:rPr>
        <w:t xml:space="preserve"> many suffer from contributory gaps</w:t>
      </w:r>
      <w:r w:rsidRPr="00517534">
        <w:rPr>
          <w:lang w:val="en-GB"/>
        </w:rPr>
        <w:t xml:space="preserve"> and lack proper labour and fiscal records</w:t>
      </w:r>
      <w:r w:rsidR="008C1DE2" w:rsidRPr="00517534">
        <w:rPr>
          <w:lang w:val="en-GB"/>
        </w:rPr>
        <w:t>.</w:t>
      </w:r>
      <w:r w:rsidR="00017D6B" w:rsidRPr="00517534">
        <w:rPr>
          <w:lang w:val="en-GB"/>
        </w:rPr>
        <w:t xml:space="preserve"> In the late 2000s, social security schemes covered perhaps one third of workers. </w:t>
      </w:r>
    </w:p>
    <w:p w14:paraId="53FCCF7E" w14:textId="77777777" w:rsidR="00C55D1C" w:rsidRPr="00517534" w:rsidRDefault="006B2B4C" w:rsidP="002D3EE0">
      <w:pPr>
        <w:ind w:firstLine="708"/>
        <w:rPr>
          <w:lang w:val="en-GB"/>
        </w:rPr>
      </w:pPr>
      <w:commentRangeStart w:id="1"/>
      <w:r w:rsidRPr="00517534">
        <w:rPr>
          <w:lang w:val="en-GB"/>
        </w:rPr>
        <w:t>The</w:t>
      </w:r>
      <w:commentRangeEnd w:id="1"/>
      <w:r w:rsidR="006A76DF" w:rsidRPr="00517534">
        <w:rPr>
          <w:lang w:val="en-GB"/>
        </w:rPr>
        <w:commentReference w:id="1"/>
      </w:r>
      <w:r w:rsidRPr="00517534">
        <w:rPr>
          <w:lang w:val="en-GB"/>
        </w:rPr>
        <w:t xml:space="preserve"> main reasons are low employment </w:t>
      </w:r>
      <w:r w:rsidR="00C55D1C" w:rsidRPr="00517534">
        <w:rPr>
          <w:lang w:val="en-GB"/>
        </w:rPr>
        <w:t xml:space="preserve">– circa 50 per cent of active men and less than 15 per cent of active women were employed in 2016, according to Eurostat – </w:t>
      </w:r>
      <w:r w:rsidRPr="00517534">
        <w:rPr>
          <w:lang w:val="en-GB"/>
        </w:rPr>
        <w:t>and unemployment rates</w:t>
      </w:r>
      <w:r w:rsidR="00C55D1C" w:rsidRPr="00517534">
        <w:rPr>
          <w:lang w:val="en-GB"/>
        </w:rPr>
        <w:t xml:space="preserve"> close to 30 per cent</w:t>
      </w:r>
      <w:r w:rsidRPr="00517534">
        <w:rPr>
          <w:lang w:val="en-GB"/>
        </w:rPr>
        <w:t>, as well as the high share of</w:t>
      </w:r>
      <w:r w:rsidR="008C1DE2" w:rsidRPr="00517534">
        <w:rPr>
          <w:lang w:val="en-GB"/>
        </w:rPr>
        <w:t xml:space="preserve"> own-account and family workers</w:t>
      </w:r>
      <w:r w:rsidRPr="00517534">
        <w:rPr>
          <w:lang w:val="en-GB"/>
        </w:rPr>
        <w:t xml:space="preserve">. </w:t>
      </w:r>
      <w:r w:rsidR="009207BC" w:rsidRPr="00517534">
        <w:rPr>
          <w:lang w:val="en-GB"/>
        </w:rPr>
        <w:t xml:space="preserve">Demography also plays a role. Kosovo has a very young population. According to the 2011 census almost half of the population was younger than 25 (KAS, 2013). The circa 35 thousand new job seekers each year cannot be absorbed by the labour market (Bertelsmann Stiftung, 2016). </w:t>
      </w:r>
    </w:p>
    <w:p w14:paraId="6CF1663C" w14:textId="59E57D17" w:rsidR="008C1DE2" w:rsidRPr="00517534" w:rsidRDefault="009207BC" w:rsidP="002D3EE0">
      <w:pPr>
        <w:ind w:firstLine="708"/>
        <w:rPr>
          <w:lang w:val="en-GB"/>
        </w:rPr>
      </w:pPr>
      <w:r w:rsidRPr="00517534">
        <w:rPr>
          <w:lang w:val="en-GB"/>
        </w:rPr>
        <w:t xml:space="preserve">Combined with low salaries in the formal economy, this generates large-scale outflows of working-age people and </w:t>
      </w:r>
      <w:r w:rsidR="00C55D1C" w:rsidRPr="00517534">
        <w:rPr>
          <w:lang w:val="en-GB"/>
        </w:rPr>
        <w:t xml:space="preserve">a huge informal economy, amounting to some </w:t>
      </w:r>
      <w:r w:rsidR="00017D6B" w:rsidRPr="00517534">
        <w:rPr>
          <w:lang w:val="en-GB"/>
        </w:rPr>
        <w:t xml:space="preserve">27-35 per cent of GDP in the mid 2000s (Schneider, </w:t>
      </w:r>
      <w:proofErr w:type="spellStart"/>
      <w:r w:rsidR="00017D6B" w:rsidRPr="00517534">
        <w:rPr>
          <w:lang w:val="en-GB"/>
        </w:rPr>
        <w:t>Buehn</w:t>
      </w:r>
      <w:proofErr w:type="spellEnd"/>
      <w:r w:rsidR="00017D6B" w:rsidRPr="00517534">
        <w:rPr>
          <w:lang w:val="en-GB"/>
        </w:rPr>
        <w:t xml:space="preserve"> and Montenegro, 2010)</w:t>
      </w:r>
      <w:r w:rsidR="00C55D1C" w:rsidRPr="00517534">
        <w:rPr>
          <w:lang w:val="en-GB"/>
        </w:rPr>
        <w:t>. Widespread informality is a problem in itself:</w:t>
      </w:r>
      <w:r w:rsidR="00017D6B" w:rsidRPr="00517534">
        <w:rPr>
          <w:lang w:val="en-GB"/>
        </w:rPr>
        <w:t xml:space="preserve"> </w:t>
      </w:r>
      <w:r w:rsidR="00C55D1C" w:rsidRPr="00517534">
        <w:rPr>
          <w:lang w:val="en-GB"/>
        </w:rPr>
        <w:t>it</w:t>
      </w:r>
      <w:r w:rsidR="006B2B4C" w:rsidRPr="00517534">
        <w:rPr>
          <w:lang w:val="en-GB"/>
        </w:rPr>
        <w:t xml:space="preserve"> does </w:t>
      </w:r>
      <w:r w:rsidR="008C1DE2" w:rsidRPr="00517534">
        <w:rPr>
          <w:lang w:val="en-GB"/>
        </w:rPr>
        <w:t xml:space="preserve">provide the means for self-subsistence to the </w:t>
      </w:r>
      <w:r w:rsidRPr="00517534">
        <w:rPr>
          <w:lang w:val="en-GB"/>
        </w:rPr>
        <w:t>population but</w:t>
      </w:r>
      <w:r w:rsidR="008C1DE2" w:rsidRPr="00517534">
        <w:rPr>
          <w:lang w:val="en-GB"/>
        </w:rPr>
        <w:t xml:space="preserve"> limit</w:t>
      </w:r>
      <w:r w:rsidR="006B2B4C" w:rsidRPr="00517534">
        <w:rPr>
          <w:lang w:val="en-GB"/>
        </w:rPr>
        <w:t>s</w:t>
      </w:r>
      <w:r w:rsidR="008C1DE2" w:rsidRPr="00517534">
        <w:rPr>
          <w:lang w:val="en-GB"/>
        </w:rPr>
        <w:t xml:space="preserve"> the</w:t>
      </w:r>
      <w:r w:rsidR="006B2B4C" w:rsidRPr="00517534">
        <w:rPr>
          <w:lang w:val="en-GB"/>
        </w:rPr>
        <w:t>ir</w:t>
      </w:r>
      <w:r w:rsidR="008C1DE2" w:rsidRPr="00517534">
        <w:rPr>
          <w:lang w:val="en-GB"/>
        </w:rPr>
        <w:t xml:space="preserve"> access to formal types of social insurance and reduces government revenues (</w:t>
      </w:r>
      <w:proofErr w:type="spellStart"/>
      <w:r w:rsidR="008C1DE2" w:rsidRPr="00517534">
        <w:rPr>
          <w:lang w:val="en-GB"/>
        </w:rPr>
        <w:t>Krasniqi</w:t>
      </w:r>
      <w:proofErr w:type="spellEnd"/>
      <w:r w:rsidR="008C1DE2" w:rsidRPr="00517534">
        <w:rPr>
          <w:lang w:val="en-GB"/>
        </w:rPr>
        <w:t xml:space="preserve"> and </w:t>
      </w:r>
      <w:proofErr w:type="spellStart"/>
      <w:r w:rsidR="008C1DE2" w:rsidRPr="00517534">
        <w:rPr>
          <w:lang w:val="en-GB"/>
        </w:rPr>
        <w:t>Topxhiu</w:t>
      </w:r>
      <w:proofErr w:type="spellEnd"/>
      <w:r w:rsidR="008C1DE2" w:rsidRPr="00517534">
        <w:rPr>
          <w:lang w:val="en-GB"/>
        </w:rPr>
        <w:t>, 2012).</w:t>
      </w:r>
    </w:p>
    <w:p w14:paraId="03EC094E" w14:textId="31D44623" w:rsidR="0085213C" w:rsidRPr="00517534" w:rsidRDefault="0085213C" w:rsidP="002D3EE0">
      <w:pPr>
        <w:ind w:firstLine="708"/>
        <w:rPr>
          <w:lang w:val="en-GB"/>
        </w:rPr>
      </w:pPr>
      <w:r w:rsidRPr="00517534">
        <w:rPr>
          <w:lang w:val="en-GB"/>
        </w:rPr>
        <w:t>T</w:t>
      </w:r>
      <w:r w:rsidR="008C1DE2" w:rsidRPr="00517534">
        <w:rPr>
          <w:lang w:val="en-GB"/>
        </w:rPr>
        <w:t>he international community designed a set of original social policies</w:t>
      </w:r>
      <w:r w:rsidRPr="00517534">
        <w:rPr>
          <w:lang w:val="en-GB"/>
        </w:rPr>
        <w:t xml:space="preserve"> to cope with the adverse conditions. </w:t>
      </w:r>
      <w:r w:rsidR="00B020A5" w:rsidRPr="00517534">
        <w:rPr>
          <w:lang w:val="en-GB"/>
        </w:rPr>
        <w:t>During implementation, t</w:t>
      </w:r>
      <w:r w:rsidRPr="00517534">
        <w:rPr>
          <w:lang w:val="en-GB"/>
        </w:rPr>
        <w:t>he UN administration had very little trust in the newly established Kosovar institutions (</w:t>
      </w:r>
      <w:proofErr w:type="spellStart"/>
      <w:r w:rsidRPr="00517534">
        <w:rPr>
          <w:lang w:val="en-GB"/>
        </w:rPr>
        <w:t>Héthy</w:t>
      </w:r>
      <w:proofErr w:type="spellEnd"/>
      <w:r w:rsidRPr="00517534">
        <w:rPr>
          <w:lang w:val="en-GB"/>
        </w:rPr>
        <w:t xml:space="preserve">, 2005). The IMF feared that the reforms would </w:t>
      </w:r>
      <w:r w:rsidR="00B020A5" w:rsidRPr="00517534">
        <w:rPr>
          <w:lang w:val="en-GB"/>
        </w:rPr>
        <w:t>be</w:t>
      </w:r>
      <w:r w:rsidRPr="00517534">
        <w:rPr>
          <w:lang w:val="en-GB"/>
        </w:rPr>
        <w:t xml:space="preserve"> debated, delayed and altered had Kosovo not been under international governance (</w:t>
      </w:r>
      <w:proofErr w:type="spellStart"/>
      <w:r w:rsidRPr="00517534">
        <w:rPr>
          <w:lang w:val="en-GB"/>
        </w:rPr>
        <w:t>Gubbels</w:t>
      </w:r>
      <w:proofErr w:type="spellEnd"/>
      <w:r w:rsidRPr="00517534">
        <w:rPr>
          <w:lang w:val="en-GB"/>
        </w:rPr>
        <w:t xml:space="preserve"> et al., 2007). Hence, legislation was passed before a Kosovar government was in place, thereby ensuring independence from local political involvement (</w:t>
      </w:r>
      <w:proofErr w:type="spellStart"/>
      <w:r w:rsidRPr="00517534">
        <w:rPr>
          <w:lang w:val="en-GB"/>
        </w:rPr>
        <w:t>Cocozzelli</w:t>
      </w:r>
      <w:proofErr w:type="spellEnd"/>
      <w:r w:rsidRPr="00517534">
        <w:rPr>
          <w:lang w:val="en-GB"/>
        </w:rPr>
        <w:t xml:space="preserve">, 2009). </w:t>
      </w:r>
      <w:r w:rsidR="00B009FB" w:rsidRPr="00517534">
        <w:rPr>
          <w:lang w:val="en-GB"/>
        </w:rPr>
        <w:t xml:space="preserve">Basic pensions were the first act of the Provisional Institutions of Self-Government (PISG) in the newly created Kosovo Assembly. </w:t>
      </w:r>
    </w:p>
    <w:p w14:paraId="112DB268" w14:textId="6159828A" w:rsidR="008C1DE2" w:rsidRPr="00517534" w:rsidRDefault="00B009FB" w:rsidP="002D3EE0">
      <w:pPr>
        <w:ind w:firstLine="708"/>
        <w:rPr>
          <w:lang w:val="en-GB"/>
        </w:rPr>
      </w:pPr>
      <w:r w:rsidRPr="00517534">
        <w:rPr>
          <w:lang w:val="en-GB"/>
        </w:rPr>
        <w:t xml:space="preserve">If the hasty adoption generated tensions between social welfare reforms that are still unresolved, the international community’s </w:t>
      </w:r>
      <w:r w:rsidR="008C1DE2" w:rsidRPr="00517534">
        <w:rPr>
          <w:lang w:val="en-GB"/>
        </w:rPr>
        <w:t>concerns were not unfounded</w:t>
      </w:r>
      <w:r w:rsidRPr="00517534">
        <w:rPr>
          <w:lang w:val="en-GB"/>
        </w:rPr>
        <w:t>.</w:t>
      </w:r>
      <w:r w:rsidR="008C1DE2" w:rsidRPr="00517534">
        <w:rPr>
          <w:lang w:val="en-GB"/>
        </w:rPr>
        <w:t xml:space="preserve"> </w:t>
      </w:r>
      <w:r w:rsidRPr="00517534">
        <w:rPr>
          <w:lang w:val="en-GB"/>
        </w:rPr>
        <w:t>O</w:t>
      </w:r>
      <w:r w:rsidR="008C1DE2" w:rsidRPr="00517534">
        <w:rPr>
          <w:lang w:val="en-GB"/>
        </w:rPr>
        <w:t>nly those parts</w:t>
      </w:r>
      <w:r w:rsidRPr="00517534">
        <w:rPr>
          <w:lang w:val="en-GB"/>
        </w:rPr>
        <w:t xml:space="preserve"> of the administration</w:t>
      </w:r>
      <w:r w:rsidR="008C1DE2" w:rsidRPr="00517534">
        <w:rPr>
          <w:lang w:val="en-GB"/>
        </w:rPr>
        <w:t xml:space="preserve"> insulated from political influence did not suffer from low competence or </w:t>
      </w:r>
      <w:r w:rsidR="00B020A5" w:rsidRPr="00517534">
        <w:rPr>
          <w:lang w:val="en-GB"/>
        </w:rPr>
        <w:t xml:space="preserve">did not </w:t>
      </w:r>
      <w:r w:rsidR="008C1DE2" w:rsidRPr="00517534">
        <w:rPr>
          <w:lang w:val="en-GB"/>
        </w:rPr>
        <w:t>develop extensive patronage networks (</w:t>
      </w:r>
      <w:proofErr w:type="spellStart"/>
      <w:r w:rsidR="008C1DE2" w:rsidRPr="00517534">
        <w:rPr>
          <w:lang w:val="en-GB"/>
        </w:rPr>
        <w:t>Skendaj</w:t>
      </w:r>
      <w:proofErr w:type="spellEnd"/>
      <w:r w:rsidR="008C1DE2" w:rsidRPr="00517534">
        <w:rPr>
          <w:lang w:val="en-GB"/>
        </w:rPr>
        <w:t xml:space="preserve">, 2014). </w:t>
      </w:r>
      <w:r w:rsidRPr="00517534">
        <w:rPr>
          <w:lang w:val="en-GB"/>
        </w:rPr>
        <w:t>As soon as</w:t>
      </w:r>
      <w:r w:rsidR="008C1DE2" w:rsidRPr="00517534">
        <w:rPr>
          <w:lang w:val="en-GB"/>
        </w:rPr>
        <w:t xml:space="preserve"> the authority was definitively transferred to the PISG, </w:t>
      </w:r>
      <w:r w:rsidRPr="00517534">
        <w:rPr>
          <w:lang w:val="en-GB"/>
        </w:rPr>
        <w:t>pensions</w:t>
      </w:r>
      <w:r w:rsidR="008C1DE2" w:rsidRPr="00517534">
        <w:rPr>
          <w:lang w:val="en-GB"/>
        </w:rPr>
        <w:t xml:space="preserve"> become </w:t>
      </w:r>
      <w:r w:rsidR="00B020A5" w:rsidRPr="00517534">
        <w:rPr>
          <w:lang w:val="en-GB"/>
        </w:rPr>
        <w:t xml:space="preserve">preferred </w:t>
      </w:r>
      <w:r w:rsidR="008C1DE2" w:rsidRPr="00517534">
        <w:rPr>
          <w:lang w:val="en-GB"/>
        </w:rPr>
        <w:t xml:space="preserve">vehicles for benefits clientelism. </w:t>
      </w:r>
    </w:p>
    <w:p w14:paraId="2121F4AF" w14:textId="2F89ECF7" w:rsidR="008C1DE2" w:rsidRPr="00517534" w:rsidRDefault="008C1DE2" w:rsidP="004B5482">
      <w:pPr>
        <w:pStyle w:val="Heading2"/>
        <w:spacing w:line="240" w:lineRule="auto"/>
      </w:pPr>
      <w:r w:rsidRPr="00517534">
        <w:t xml:space="preserve">The </w:t>
      </w:r>
      <w:r w:rsidR="000A4557" w:rsidRPr="00517534">
        <w:t>‘evolution’ of the system’s</w:t>
      </w:r>
      <w:r w:rsidRPr="00517534">
        <w:t xml:space="preserve"> design</w:t>
      </w:r>
    </w:p>
    <w:p w14:paraId="17AC8C3E" w14:textId="2D8CA122" w:rsidR="000A4557" w:rsidRPr="00517534" w:rsidRDefault="000A4557" w:rsidP="00771E9C">
      <w:pPr>
        <w:ind w:firstLine="708"/>
        <w:rPr>
          <w:lang w:val="en-GB"/>
        </w:rPr>
      </w:pPr>
      <w:r w:rsidRPr="00517534">
        <w:rPr>
          <w:lang w:val="en-GB"/>
        </w:rPr>
        <w:t>At its introduction, the multi-pillar design of the Kosovar pension system was a textbook version of that advocated by the World Bank (1994) in the 1990s. It consisted of a universal basic old-age pension</w:t>
      </w:r>
      <w:r w:rsidR="00AB4481" w:rsidRPr="00517534">
        <w:rPr>
          <w:lang w:val="en-GB"/>
        </w:rPr>
        <w:t>,</w:t>
      </w:r>
      <w:r w:rsidRPr="00517534">
        <w:rPr>
          <w:lang w:val="en-GB"/>
        </w:rPr>
        <w:t xml:space="preserve"> a disability pension narrowly focused on total and permanent disability, a mandatory fully-funded defined-contribution contributory pillar, managed by the Kosovo Pension Savings Trust (KPST)</w:t>
      </w:r>
      <w:r w:rsidR="00AB4481" w:rsidRPr="00517534">
        <w:rPr>
          <w:lang w:val="en-GB"/>
        </w:rPr>
        <w:t>,</w:t>
      </w:r>
      <w:r w:rsidRPr="00517534">
        <w:rPr>
          <w:lang w:val="en-GB"/>
        </w:rPr>
        <w:t xml:space="preserve"> and voluntary private schemes. </w:t>
      </w:r>
    </w:p>
    <w:p w14:paraId="618C219D" w14:textId="4F948AF8" w:rsidR="008C1DE2" w:rsidRPr="00517534" w:rsidRDefault="008C1DE2" w:rsidP="00771E9C">
      <w:pPr>
        <w:ind w:firstLine="708"/>
        <w:rPr>
          <w:lang w:val="en-GB"/>
        </w:rPr>
      </w:pPr>
      <w:r w:rsidRPr="00517534">
        <w:rPr>
          <w:lang w:val="en-GB"/>
        </w:rPr>
        <w:t>The current pension system is</w:t>
      </w:r>
      <w:r w:rsidR="00AB4481" w:rsidRPr="00517534">
        <w:rPr>
          <w:lang w:val="en-GB"/>
        </w:rPr>
        <w:t xml:space="preserve"> instead much more fragmented (see Table 1), thereby fulfilling the expectations of the literature </w:t>
      </w:r>
      <w:r w:rsidR="00B020A5" w:rsidRPr="00517534">
        <w:rPr>
          <w:lang w:val="en-GB"/>
        </w:rPr>
        <w:t>dealing with the</w:t>
      </w:r>
      <w:r w:rsidR="00AB4481" w:rsidRPr="00517534">
        <w:rPr>
          <w:lang w:val="en-GB"/>
        </w:rPr>
        <w:t xml:space="preserve"> </w:t>
      </w:r>
      <w:proofErr w:type="spellStart"/>
      <w:r w:rsidR="00AB4481" w:rsidRPr="00517534">
        <w:rPr>
          <w:lang w:val="en-GB"/>
        </w:rPr>
        <w:t>clientelistic</w:t>
      </w:r>
      <w:proofErr w:type="spellEnd"/>
      <w:r w:rsidR="00AB4481" w:rsidRPr="00517534">
        <w:rPr>
          <w:lang w:val="en-GB"/>
        </w:rPr>
        <w:t xml:space="preserve"> political competition in the Mediterranean welfare </w:t>
      </w:r>
      <w:r w:rsidR="00B64285">
        <w:rPr>
          <w:lang w:val="en-GB"/>
        </w:rPr>
        <w:t>regime</w:t>
      </w:r>
      <w:r w:rsidR="00AB4481" w:rsidRPr="00517534">
        <w:rPr>
          <w:lang w:val="en-GB"/>
        </w:rPr>
        <w:t xml:space="preserve"> (</w:t>
      </w:r>
      <w:proofErr w:type="spellStart"/>
      <w:r w:rsidR="00AB4481" w:rsidRPr="00517534">
        <w:rPr>
          <w:lang w:val="en-GB"/>
        </w:rPr>
        <w:t>Ferrera</w:t>
      </w:r>
      <w:proofErr w:type="spellEnd"/>
      <w:r w:rsidR="00AB4481" w:rsidRPr="00517534">
        <w:rPr>
          <w:lang w:val="en-GB"/>
        </w:rPr>
        <w:t>, 1996; Gough, 1996). The</w:t>
      </w:r>
      <w:r w:rsidRPr="00517534">
        <w:rPr>
          <w:lang w:val="en-GB"/>
        </w:rPr>
        <w:t xml:space="preserve"> 2017 budget covered 12 different </w:t>
      </w:r>
      <w:r w:rsidR="00AB4481" w:rsidRPr="00517534">
        <w:rPr>
          <w:lang w:val="en-GB"/>
        </w:rPr>
        <w:t xml:space="preserve">state-financed pensions </w:t>
      </w:r>
      <w:r w:rsidRPr="00517534">
        <w:rPr>
          <w:lang w:val="en-GB"/>
        </w:rPr>
        <w:t>schemes</w:t>
      </w:r>
      <w:r w:rsidR="00AB4481" w:rsidRPr="00517534">
        <w:rPr>
          <w:lang w:val="en-GB"/>
        </w:rPr>
        <w:t xml:space="preserve">. </w:t>
      </w:r>
      <w:r w:rsidR="00B31E07" w:rsidRPr="00517534">
        <w:rPr>
          <w:lang w:val="en-GB"/>
        </w:rPr>
        <w:t>Only t</w:t>
      </w:r>
      <w:r w:rsidR="00AB4481" w:rsidRPr="00517534">
        <w:rPr>
          <w:lang w:val="en-GB"/>
        </w:rPr>
        <w:t xml:space="preserve">he work disability pension and the family pension </w:t>
      </w:r>
      <w:r w:rsidR="00B020A5" w:rsidRPr="00517534">
        <w:rPr>
          <w:lang w:val="en-GB"/>
        </w:rPr>
        <w:t>were</w:t>
      </w:r>
      <w:r w:rsidRPr="00517534">
        <w:rPr>
          <w:lang w:val="en-GB"/>
        </w:rPr>
        <w:t xml:space="preserve"> not yet active for budgetary reasons. </w:t>
      </w:r>
    </w:p>
    <w:p w14:paraId="57F27FBE" w14:textId="77777777" w:rsidR="008C1DE2" w:rsidRPr="00517534" w:rsidRDefault="008C1DE2" w:rsidP="004B5482">
      <w:pPr>
        <w:rPr>
          <w:lang w:val="en-GB"/>
        </w:rPr>
      </w:pPr>
    </w:p>
    <w:p w14:paraId="0D1B7198" w14:textId="5B97A5F1" w:rsidR="008C1DE2" w:rsidRPr="00517534" w:rsidRDefault="008C1DE2" w:rsidP="004B5482">
      <w:pPr>
        <w:rPr>
          <w:b/>
          <w:lang w:val="en-GB"/>
        </w:rPr>
      </w:pPr>
      <w:r w:rsidRPr="00517534">
        <w:rPr>
          <w:b/>
          <w:lang w:val="en-GB"/>
        </w:rPr>
        <w:t xml:space="preserve">Table </w:t>
      </w:r>
      <w:r w:rsidR="00AB4481" w:rsidRPr="00517534">
        <w:rPr>
          <w:b/>
          <w:lang w:val="en-GB"/>
        </w:rPr>
        <w:t>1</w:t>
      </w:r>
      <w:r w:rsidRPr="00517534">
        <w:rPr>
          <w:b/>
          <w:lang w:val="en-GB"/>
        </w:rPr>
        <w:t xml:space="preserve"> Selected Kosovar old-age and disability pension schemes</w:t>
      </w:r>
    </w:p>
    <w:tbl>
      <w:tblPr>
        <w:tblStyle w:val="ListTable2"/>
        <w:tblW w:w="5000" w:type="pct"/>
        <w:tblLook w:val="04A0" w:firstRow="1" w:lastRow="0" w:firstColumn="1" w:lastColumn="0" w:noHBand="0" w:noVBand="1"/>
      </w:tblPr>
      <w:tblGrid>
        <w:gridCol w:w="1590"/>
        <w:gridCol w:w="2127"/>
        <w:gridCol w:w="910"/>
        <w:gridCol w:w="1429"/>
        <w:gridCol w:w="1017"/>
        <w:gridCol w:w="1953"/>
      </w:tblGrid>
      <w:tr w:rsidR="008C1DE2" w:rsidRPr="00517534" w14:paraId="03928AEC" w14:textId="77777777" w:rsidTr="00D33C4A">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882" w:type="pct"/>
            <w:shd w:val="clear" w:color="auto" w:fill="auto"/>
          </w:tcPr>
          <w:p w14:paraId="70E19853" w14:textId="77777777" w:rsidR="008C1DE2" w:rsidRPr="00517534" w:rsidRDefault="008C1DE2" w:rsidP="004B5482">
            <w:pPr>
              <w:rPr>
                <w:lang w:val="en-GB"/>
              </w:rPr>
            </w:pPr>
            <w:r w:rsidRPr="00517534">
              <w:rPr>
                <w:lang w:val="en-GB"/>
              </w:rPr>
              <w:lastRenderedPageBreak/>
              <w:t>Scheme</w:t>
            </w:r>
          </w:p>
        </w:tc>
        <w:tc>
          <w:tcPr>
            <w:tcW w:w="1210" w:type="pct"/>
            <w:shd w:val="clear" w:color="auto" w:fill="auto"/>
          </w:tcPr>
          <w:p w14:paraId="199DACA1" w14:textId="77777777" w:rsidR="008C1DE2" w:rsidRPr="00517534" w:rsidRDefault="008C1DE2"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Target group</w:t>
            </w:r>
          </w:p>
        </w:tc>
        <w:tc>
          <w:tcPr>
            <w:tcW w:w="490" w:type="pct"/>
            <w:shd w:val="clear" w:color="auto" w:fill="auto"/>
          </w:tcPr>
          <w:p w14:paraId="50F4555C" w14:textId="77777777" w:rsidR="008C1DE2" w:rsidRPr="00517534" w:rsidRDefault="008C1DE2"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Age</w:t>
            </w:r>
          </w:p>
        </w:tc>
        <w:tc>
          <w:tcPr>
            <w:tcW w:w="770" w:type="pct"/>
            <w:shd w:val="clear" w:color="auto" w:fill="auto"/>
          </w:tcPr>
          <w:p w14:paraId="487B7F17" w14:textId="77777777" w:rsidR="008C1DE2" w:rsidRPr="00517534" w:rsidRDefault="008C1DE2"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Earnings tested</w:t>
            </w:r>
          </w:p>
        </w:tc>
        <w:tc>
          <w:tcPr>
            <w:tcW w:w="550" w:type="pct"/>
            <w:shd w:val="clear" w:color="auto" w:fill="auto"/>
          </w:tcPr>
          <w:p w14:paraId="44C778EF" w14:textId="77777777" w:rsidR="008C1DE2" w:rsidRPr="00517534" w:rsidRDefault="008C1DE2"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Pension tested</w:t>
            </w:r>
          </w:p>
        </w:tc>
        <w:tc>
          <w:tcPr>
            <w:tcW w:w="1098" w:type="pct"/>
            <w:shd w:val="clear" w:color="auto" w:fill="auto"/>
          </w:tcPr>
          <w:p w14:paraId="33775206" w14:textId="77777777" w:rsidR="008C1DE2" w:rsidRPr="00517534" w:rsidRDefault="008C1DE2"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Benefit type and amount</w:t>
            </w:r>
          </w:p>
        </w:tc>
      </w:tr>
      <w:tr w:rsidR="008C1DE2" w:rsidRPr="00517534" w14:paraId="31C925E5" w14:textId="77777777" w:rsidTr="00D33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shd w:val="clear" w:color="auto" w:fill="auto"/>
          </w:tcPr>
          <w:p w14:paraId="27E831F0" w14:textId="77777777" w:rsidR="008C1DE2" w:rsidRPr="00517534" w:rsidRDefault="008C1DE2" w:rsidP="004B5482">
            <w:pPr>
              <w:rPr>
                <w:lang w:val="en-GB"/>
              </w:rPr>
            </w:pPr>
            <w:r w:rsidRPr="00517534">
              <w:rPr>
                <w:lang w:val="en-GB"/>
              </w:rPr>
              <w:t>Basic age pension</w:t>
            </w:r>
          </w:p>
        </w:tc>
        <w:tc>
          <w:tcPr>
            <w:tcW w:w="1210" w:type="pct"/>
            <w:shd w:val="clear" w:color="auto" w:fill="auto"/>
          </w:tcPr>
          <w:p w14:paraId="11D0927E"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All</w:t>
            </w:r>
          </w:p>
        </w:tc>
        <w:tc>
          <w:tcPr>
            <w:tcW w:w="490" w:type="pct"/>
            <w:shd w:val="clear" w:color="auto" w:fill="auto"/>
          </w:tcPr>
          <w:p w14:paraId="09909822"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65+</w:t>
            </w:r>
          </w:p>
        </w:tc>
        <w:tc>
          <w:tcPr>
            <w:tcW w:w="770" w:type="pct"/>
            <w:shd w:val="clear" w:color="auto" w:fill="auto"/>
          </w:tcPr>
          <w:p w14:paraId="0B291836"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No</w:t>
            </w:r>
          </w:p>
        </w:tc>
        <w:tc>
          <w:tcPr>
            <w:tcW w:w="550" w:type="pct"/>
            <w:shd w:val="clear" w:color="auto" w:fill="auto"/>
          </w:tcPr>
          <w:p w14:paraId="42928A83"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Yes</w:t>
            </w:r>
          </w:p>
        </w:tc>
        <w:tc>
          <w:tcPr>
            <w:tcW w:w="1098" w:type="pct"/>
            <w:shd w:val="clear" w:color="auto" w:fill="auto"/>
          </w:tcPr>
          <w:p w14:paraId="0AD89497"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Flat (€75/month)</w:t>
            </w:r>
          </w:p>
        </w:tc>
      </w:tr>
      <w:tr w:rsidR="008C1DE2" w:rsidRPr="00517534" w14:paraId="5786AA9C" w14:textId="77777777" w:rsidTr="00D33C4A">
        <w:tc>
          <w:tcPr>
            <w:cnfStyle w:val="001000000000" w:firstRow="0" w:lastRow="0" w:firstColumn="1" w:lastColumn="0" w:oddVBand="0" w:evenVBand="0" w:oddHBand="0" w:evenHBand="0" w:firstRowFirstColumn="0" w:firstRowLastColumn="0" w:lastRowFirstColumn="0" w:lastRowLastColumn="0"/>
            <w:tcW w:w="882" w:type="pct"/>
            <w:shd w:val="clear" w:color="auto" w:fill="auto"/>
          </w:tcPr>
          <w:p w14:paraId="0CBF8F25" w14:textId="77777777" w:rsidR="008C1DE2" w:rsidRPr="00517534" w:rsidRDefault="008C1DE2" w:rsidP="004B5482">
            <w:pPr>
              <w:rPr>
                <w:lang w:val="en-GB"/>
              </w:rPr>
            </w:pPr>
            <w:r w:rsidRPr="00517534">
              <w:rPr>
                <w:lang w:val="en-GB"/>
              </w:rPr>
              <w:t>Contributory pension</w:t>
            </w:r>
          </w:p>
        </w:tc>
        <w:tc>
          <w:tcPr>
            <w:tcW w:w="1210" w:type="pct"/>
            <w:shd w:val="clear" w:color="auto" w:fill="auto"/>
          </w:tcPr>
          <w:p w14:paraId="2BE346D3"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Beneficiaries based on law from before 1999</w:t>
            </w:r>
          </w:p>
        </w:tc>
        <w:tc>
          <w:tcPr>
            <w:tcW w:w="490" w:type="pct"/>
            <w:shd w:val="clear" w:color="auto" w:fill="auto"/>
          </w:tcPr>
          <w:p w14:paraId="4920D1F6"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65+</w:t>
            </w:r>
          </w:p>
        </w:tc>
        <w:tc>
          <w:tcPr>
            <w:tcW w:w="770" w:type="pct"/>
            <w:shd w:val="clear" w:color="auto" w:fill="auto"/>
          </w:tcPr>
          <w:p w14:paraId="0B23A4E2"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No</w:t>
            </w:r>
          </w:p>
        </w:tc>
        <w:tc>
          <w:tcPr>
            <w:tcW w:w="550" w:type="pct"/>
            <w:shd w:val="clear" w:color="auto" w:fill="auto"/>
          </w:tcPr>
          <w:p w14:paraId="717935C2"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Yes</w:t>
            </w:r>
          </w:p>
        </w:tc>
        <w:tc>
          <w:tcPr>
            <w:tcW w:w="1098" w:type="pct"/>
            <w:shd w:val="clear" w:color="auto" w:fill="auto"/>
          </w:tcPr>
          <w:p w14:paraId="52105481"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Education-linked (€158-230/month)</w:t>
            </w:r>
          </w:p>
        </w:tc>
      </w:tr>
      <w:tr w:rsidR="008C1DE2" w:rsidRPr="00517534" w14:paraId="1C856E8E" w14:textId="77777777" w:rsidTr="00D33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shd w:val="clear" w:color="auto" w:fill="auto"/>
          </w:tcPr>
          <w:p w14:paraId="644C0307" w14:textId="77777777" w:rsidR="008C1DE2" w:rsidRPr="00517534" w:rsidRDefault="008C1DE2" w:rsidP="004B5482">
            <w:pPr>
              <w:rPr>
                <w:lang w:val="en-GB"/>
              </w:rPr>
            </w:pPr>
            <w:r w:rsidRPr="00517534">
              <w:rPr>
                <w:lang w:val="en-GB"/>
              </w:rPr>
              <w:t>Disability pension</w:t>
            </w:r>
          </w:p>
        </w:tc>
        <w:tc>
          <w:tcPr>
            <w:tcW w:w="1210" w:type="pct"/>
            <w:shd w:val="clear" w:color="auto" w:fill="auto"/>
          </w:tcPr>
          <w:p w14:paraId="531D1402"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100% disability</w:t>
            </w:r>
          </w:p>
        </w:tc>
        <w:tc>
          <w:tcPr>
            <w:tcW w:w="490" w:type="pct"/>
            <w:shd w:val="clear" w:color="auto" w:fill="auto"/>
          </w:tcPr>
          <w:p w14:paraId="1D958338"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&lt;65</w:t>
            </w:r>
          </w:p>
        </w:tc>
        <w:tc>
          <w:tcPr>
            <w:tcW w:w="770" w:type="pct"/>
            <w:shd w:val="clear" w:color="auto" w:fill="auto"/>
          </w:tcPr>
          <w:p w14:paraId="0BD7C3CE"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Yes (categorical)</w:t>
            </w:r>
          </w:p>
        </w:tc>
        <w:tc>
          <w:tcPr>
            <w:tcW w:w="550" w:type="pct"/>
            <w:shd w:val="clear" w:color="auto" w:fill="auto"/>
          </w:tcPr>
          <w:p w14:paraId="6F7F5BBF"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Yes</w:t>
            </w:r>
          </w:p>
        </w:tc>
        <w:tc>
          <w:tcPr>
            <w:tcW w:w="1098" w:type="pct"/>
            <w:shd w:val="clear" w:color="auto" w:fill="auto"/>
          </w:tcPr>
          <w:p w14:paraId="03EFAB25"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Flat (€75/month)</w:t>
            </w:r>
          </w:p>
        </w:tc>
      </w:tr>
      <w:tr w:rsidR="008C1DE2" w:rsidRPr="00517534" w14:paraId="0F8CFC19" w14:textId="77777777" w:rsidTr="00D33C4A">
        <w:tc>
          <w:tcPr>
            <w:cnfStyle w:val="001000000000" w:firstRow="0" w:lastRow="0" w:firstColumn="1" w:lastColumn="0" w:oddVBand="0" w:evenVBand="0" w:oddHBand="0" w:evenHBand="0" w:firstRowFirstColumn="0" w:firstRowLastColumn="0" w:lastRowFirstColumn="0" w:lastRowLastColumn="0"/>
            <w:tcW w:w="882" w:type="pct"/>
            <w:shd w:val="clear" w:color="auto" w:fill="auto"/>
          </w:tcPr>
          <w:p w14:paraId="45EEF555" w14:textId="77777777" w:rsidR="008C1DE2" w:rsidRPr="00517534" w:rsidRDefault="008C1DE2" w:rsidP="004B5482">
            <w:pPr>
              <w:rPr>
                <w:lang w:val="en-GB"/>
              </w:rPr>
            </w:pPr>
            <w:r w:rsidRPr="00517534">
              <w:rPr>
                <w:lang w:val="en-GB"/>
              </w:rPr>
              <w:t>Work disability pension</w:t>
            </w:r>
          </w:p>
        </w:tc>
        <w:tc>
          <w:tcPr>
            <w:tcW w:w="1210" w:type="pct"/>
            <w:shd w:val="clear" w:color="auto" w:fill="auto"/>
          </w:tcPr>
          <w:p w14:paraId="7B469D1C"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Work accident or professional disease</w:t>
            </w:r>
          </w:p>
        </w:tc>
        <w:tc>
          <w:tcPr>
            <w:tcW w:w="490" w:type="pct"/>
            <w:shd w:val="clear" w:color="auto" w:fill="auto"/>
          </w:tcPr>
          <w:p w14:paraId="5F063634"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&lt;65</w:t>
            </w:r>
          </w:p>
        </w:tc>
        <w:tc>
          <w:tcPr>
            <w:tcW w:w="770" w:type="pct"/>
            <w:shd w:val="clear" w:color="auto" w:fill="auto"/>
          </w:tcPr>
          <w:p w14:paraId="0C5A4CA0"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Yes (categorical)</w:t>
            </w:r>
          </w:p>
        </w:tc>
        <w:tc>
          <w:tcPr>
            <w:tcW w:w="550" w:type="pct"/>
            <w:shd w:val="clear" w:color="auto" w:fill="auto"/>
          </w:tcPr>
          <w:p w14:paraId="7F3A4088"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Yes</w:t>
            </w:r>
          </w:p>
        </w:tc>
        <w:tc>
          <w:tcPr>
            <w:tcW w:w="1098" w:type="pct"/>
            <w:shd w:val="clear" w:color="auto" w:fill="auto"/>
          </w:tcPr>
          <w:p w14:paraId="78CA9A43" w14:textId="77777777" w:rsidR="008C1DE2" w:rsidRPr="00517534" w:rsidRDefault="008C1DE2"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Flat (€75/month)</w:t>
            </w:r>
          </w:p>
        </w:tc>
      </w:tr>
      <w:tr w:rsidR="008C1DE2" w:rsidRPr="0013276E" w14:paraId="63A67C6C" w14:textId="77777777" w:rsidTr="00D33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shd w:val="clear" w:color="auto" w:fill="auto"/>
          </w:tcPr>
          <w:p w14:paraId="2EAFF305" w14:textId="77777777" w:rsidR="008C1DE2" w:rsidRPr="00517534" w:rsidRDefault="008C1DE2" w:rsidP="004B5482">
            <w:pPr>
              <w:rPr>
                <w:lang w:val="en-GB"/>
              </w:rPr>
            </w:pPr>
            <w:r w:rsidRPr="00517534">
              <w:rPr>
                <w:lang w:val="en-GB"/>
              </w:rPr>
              <w:t>Family pension</w:t>
            </w:r>
          </w:p>
        </w:tc>
        <w:tc>
          <w:tcPr>
            <w:tcW w:w="1210" w:type="pct"/>
            <w:shd w:val="clear" w:color="auto" w:fill="auto"/>
          </w:tcPr>
          <w:p w14:paraId="2F0AD98A"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Beneficiaries based on law from before 1999 or family of work disabled</w:t>
            </w:r>
          </w:p>
        </w:tc>
        <w:tc>
          <w:tcPr>
            <w:tcW w:w="490" w:type="pct"/>
            <w:shd w:val="clear" w:color="auto" w:fill="auto"/>
          </w:tcPr>
          <w:p w14:paraId="4E484AFD"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Spouse &lt;65</w:t>
            </w:r>
          </w:p>
        </w:tc>
        <w:tc>
          <w:tcPr>
            <w:tcW w:w="770" w:type="pct"/>
            <w:shd w:val="clear" w:color="auto" w:fill="auto"/>
          </w:tcPr>
          <w:p w14:paraId="4671AD2B"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Yes (categorical)</w:t>
            </w:r>
          </w:p>
        </w:tc>
        <w:tc>
          <w:tcPr>
            <w:tcW w:w="550" w:type="pct"/>
            <w:shd w:val="clear" w:color="auto" w:fill="auto"/>
          </w:tcPr>
          <w:p w14:paraId="120D1B9F"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Yes</w:t>
            </w:r>
          </w:p>
        </w:tc>
        <w:tc>
          <w:tcPr>
            <w:tcW w:w="1098" w:type="pct"/>
            <w:shd w:val="clear" w:color="auto" w:fill="auto"/>
          </w:tcPr>
          <w:p w14:paraId="1BE963CD" w14:textId="77777777" w:rsidR="008C1DE2" w:rsidRPr="00517534" w:rsidRDefault="008C1DE2"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Flat (€50/month + 20% per eligible child)</w:t>
            </w:r>
          </w:p>
        </w:tc>
      </w:tr>
    </w:tbl>
    <w:p w14:paraId="050029FB" w14:textId="77777777" w:rsidR="008C1DE2" w:rsidRPr="00517534" w:rsidRDefault="008C1DE2" w:rsidP="004B5482">
      <w:pPr>
        <w:rPr>
          <w:lang w:val="en-GB"/>
        </w:rPr>
      </w:pPr>
      <w:r w:rsidRPr="00517534" w:rsidDel="00E40DD5">
        <w:rPr>
          <w:lang w:val="en-GB"/>
        </w:rPr>
        <w:t xml:space="preserve"> </w:t>
      </w:r>
      <w:r w:rsidRPr="00517534">
        <w:rPr>
          <w:i/>
          <w:lang w:val="en-GB"/>
        </w:rPr>
        <w:t>Source</w:t>
      </w:r>
      <w:r w:rsidRPr="00517534">
        <w:rPr>
          <w:lang w:val="en-GB"/>
        </w:rPr>
        <w:t xml:space="preserve">: </w:t>
      </w:r>
      <w:proofErr w:type="spellStart"/>
      <w:r w:rsidRPr="00517534">
        <w:rPr>
          <w:lang w:val="en-GB"/>
        </w:rPr>
        <w:t>Feher</w:t>
      </w:r>
      <w:proofErr w:type="spellEnd"/>
      <w:r w:rsidR="005A3D02" w:rsidRPr="00517534">
        <w:rPr>
          <w:lang w:val="en-GB"/>
        </w:rPr>
        <w:t xml:space="preserve"> et al.</w:t>
      </w:r>
      <w:r w:rsidRPr="00517534">
        <w:rPr>
          <w:lang w:val="en-GB"/>
        </w:rPr>
        <w:t xml:space="preserve"> (2016: 32).</w:t>
      </w:r>
      <w:r w:rsidRPr="00517534" w:rsidDel="00E40DD5">
        <w:rPr>
          <w:lang w:val="en-GB"/>
        </w:rPr>
        <w:t xml:space="preserve"> </w:t>
      </w:r>
    </w:p>
    <w:p w14:paraId="7257477D" w14:textId="77777777" w:rsidR="008C1DE2" w:rsidRPr="00517534" w:rsidRDefault="008C1DE2" w:rsidP="004B5482">
      <w:pPr>
        <w:rPr>
          <w:lang w:val="en-GB"/>
        </w:rPr>
      </w:pPr>
    </w:p>
    <w:p w14:paraId="195E874A" w14:textId="55302367" w:rsidR="008C1DE2" w:rsidRPr="00517534" w:rsidRDefault="008C1DE2" w:rsidP="00771E9C">
      <w:pPr>
        <w:ind w:firstLine="708"/>
        <w:rPr>
          <w:lang w:val="en-GB"/>
        </w:rPr>
      </w:pPr>
      <w:r w:rsidRPr="00517534">
        <w:rPr>
          <w:lang w:val="en-GB"/>
        </w:rPr>
        <w:t>Two old-age pension schemes constitute the Kosovar zero pillar</w:t>
      </w:r>
      <w:r w:rsidR="00AB4481" w:rsidRPr="00517534">
        <w:rPr>
          <w:lang w:val="en-GB"/>
        </w:rPr>
        <w:t>.</w:t>
      </w:r>
      <w:r w:rsidRPr="00517534">
        <w:rPr>
          <w:lang w:val="en-GB"/>
        </w:rPr>
        <w:t xml:space="preserve"> The basic age pension is </w:t>
      </w:r>
      <w:r w:rsidR="00B020A5" w:rsidRPr="00517534">
        <w:rPr>
          <w:lang w:val="en-GB"/>
        </w:rPr>
        <w:t>(</w:t>
      </w:r>
      <w:r w:rsidRPr="00517534">
        <w:rPr>
          <w:lang w:val="en-GB"/>
        </w:rPr>
        <w:t>still</w:t>
      </w:r>
      <w:r w:rsidR="00B020A5" w:rsidRPr="00517534">
        <w:rPr>
          <w:lang w:val="en-GB"/>
        </w:rPr>
        <w:t>)</w:t>
      </w:r>
      <w:r w:rsidRPr="00517534">
        <w:rPr>
          <w:lang w:val="en-GB"/>
        </w:rPr>
        <w:t xml:space="preserve"> a tax-financed universal flat benefit, covering all citizens aged 65 and over, who do not qualify for other budget-financed schemes and who are residents of Kosovo.</w:t>
      </w:r>
    </w:p>
    <w:p w14:paraId="5A78E58B" w14:textId="69696D52" w:rsidR="008C1DE2" w:rsidRPr="00517534" w:rsidRDefault="008C1DE2" w:rsidP="00771E9C">
      <w:pPr>
        <w:ind w:firstLine="708"/>
        <w:rPr>
          <w:lang w:val="en-GB"/>
        </w:rPr>
      </w:pPr>
      <w:r w:rsidRPr="00517534">
        <w:rPr>
          <w:lang w:val="en-GB"/>
        </w:rPr>
        <w:t xml:space="preserve">Individuals have to report </w:t>
      </w:r>
      <w:r w:rsidR="00B020A5" w:rsidRPr="00517534">
        <w:rPr>
          <w:lang w:val="en-GB"/>
        </w:rPr>
        <w:t>to</w:t>
      </w:r>
      <w:r w:rsidRPr="00517534">
        <w:rPr>
          <w:lang w:val="en-GB"/>
        </w:rPr>
        <w:t xml:space="preserve"> an office designated by the Ministry at least every six months to qualify for continuous benefit receipt. The Ministry of Labour and Social Welfare administer the plan. </w:t>
      </w:r>
      <w:r w:rsidR="006973C5" w:rsidRPr="00517534">
        <w:rPr>
          <w:lang w:val="en-GB"/>
        </w:rPr>
        <w:t>T</w:t>
      </w:r>
      <w:r w:rsidRPr="00517534">
        <w:rPr>
          <w:lang w:val="en-GB"/>
        </w:rPr>
        <w:t xml:space="preserve">he scheme has become more generous </w:t>
      </w:r>
      <w:r w:rsidR="006973C5" w:rsidRPr="00517534">
        <w:rPr>
          <w:lang w:val="en-GB"/>
        </w:rPr>
        <w:t>and encompassing between 2002 and 201</w:t>
      </w:r>
      <w:r w:rsidR="00B020A5" w:rsidRPr="00517534">
        <w:rPr>
          <w:lang w:val="en-GB"/>
        </w:rPr>
        <w:t>7</w:t>
      </w:r>
      <w:r w:rsidR="006973C5" w:rsidRPr="00517534">
        <w:rPr>
          <w:lang w:val="en-GB"/>
        </w:rPr>
        <w:t xml:space="preserve">: </w:t>
      </w:r>
      <w:r w:rsidRPr="00517534">
        <w:rPr>
          <w:lang w:val="en-GB"/>
        </w:rPr>
        <w:t xml:space="preserve">benefits increased from </w:t>
      </w:r>
      <w:r w:rsidR="008A48DE" w:rsidRPr="00517534">
        <w:rPr>
          <w:lang w:val="en-GB"/>
        </w:rPr>
        <w:t>€</w:t>
      </w:r>
      <w:r w:rsidRPr="00517534">
        <w:rPr>
          <w:lang w:val="en-GB"/>
        </w:rPr>
        <w:t xml:space="preserve">28 to </w:t>
      </w:r>
      <w:r w:rsidR="008A48DE" w:rsidRPr="00517534">
        <w:rPr>
          <w:lang w:val="en-GB"/>
        </w:rPr>
        <w:t>€</w:t>
      </w:r>
      <w:r w:rsidRPr="00517534">
        <w:rPr>
          <w:lang w:val="en-GB"/>
        </w:rPr>
        <w:t xml:space="preserve">75 </w:t>
      </w:r>
      <w:r w:rsidR="008A48DE" w:rsidRPr="00517534">
        <w:rPr>
          <w:lang w:val="en-GB"/>
        </w:rPr>
        <w:t xml:space="preserve">per </w:t>
      </w:r>
      <w:r w:rsidRPr="00517534">
        <w:rPr>
          <w:lang w:val="en-GB"/>
        </w:rPr>
        <w:t>month and beneficiaries climbed from 93 to 1</w:t>
      </w:r>
      <w:r w:rsidR="00B020A5" w:rsidRPr="00517534">
        <w:rPr>
          <w:lang w:val="en-GB"/>
        </w:rPr>
        <w:t>23</w:t>
      </w:r>
      <w:r w:rsidRPr="00517534">
        <w:rPr>
          <w:lang w:val="en-GB"/>
        </w:rPr>
        <w:t xml:space="preserve"> thousand.</w:t>
      </w:r>
    </w:p>
    <w:p w14:paraId="6B0AE028" w14:textId="5A38B1A3" w:rsidR="008C1DE2" w:rsidRPr="00517534" w:rsidRDefault="006973C5" w:rsidP="00771E9C">
      <w:pPr>
        <w:ind w:firstLine="708"/>
        <w:rPr>
          <w:lang w:val="en-GB"/>
        </w:rPr>
      </w:pPr>
      <w:r w:rsidRPr="00517534">
        <w:rPr>
          <w:lang w:val="en-GB"/>
        </w:rPr>
        <w:t>T</w:t>
      </w:r>
      <w:r w:rsidR="008C1DE2" w:rsidRPr="00517534">
        <w:rPr>
          <w:lang w:val="en-GB"/>
        </w:rPr>
        <w:t>he Ministry of Finance annually determined the pension benefit, based on the minimum consumption food basket. Indexation was unsystematic (neither linked to prices, wages or GDP) and conditional on the budget. Law no. 04/l-131</w:t>
      </w:r>
      <w:r w:rsidRPr="00517534">
        <w:rPr>
          <w:lang w:val="en-GB"/>
        </w:rPr>
        <w:t xml:space="preserve"> did not substantially alter that. </w:t>
      </w:r>
      <w:r w:rsidR="008C1DE2" w:rsidRPr="00517534">
        <w:rPr>
          <w:lang w:val="en-GB"/>
        </w:rPr>
        <w:t xml:space="preserve">The cost of the program in 2015 was a bit less than 2.1 per cent of Kosovar GDP, that is, circa 11 per cent of total Government’s expenditures and circa 40 per cent of all expenditures on social </w:t>
      </w:r>
      <w:r w:rsidR="008A48DE" w:rsidRPr="00517534">
        <w:rPr>
          <w:lang w:val="en-GB"/>
        </w:rPr>
        <w:t>protection</w:t>
      </w:r>
      <w:r w:rsidRPr="00517534">
        <w:rPr>
          <w:lang w:val="en-GB"/>
        </w:rPr>
        <w:t xml:space="preserve"> (</w:t>
      </w:r>
      <w:r w:rsidR="008C1DE2" w:rsidRPr="00517534">
        <w:rPr>
          <w:lang w:val="en-GB"/>
        </w:rPr>
        <w:t xml:space="preserve">Table </w:t>
      </w:r>
      <w:r w:rsidRPr="00517534">
        <w:rPr>
          <w:lang w:val="en-GB"/>
        </w:rPr>
        <w:t>2)</w:t>
      </w:r>
      <w:r w:rsidR="008C1DE2" w:rsidRPr="00517534">
        <w:rPr>
          <w:lang w:val="en-GB"/>
        </w:rPr>
        <w:t>.</w:t>
      </w:r>
    </w:p>
    <w:p w14:paraId="1B46567E" w14:textId="77777777" w:rsidR="008C1DE2" w:rsidRPr="00517534" w:rsidRDefault="008C1DE2" w:rsidP="004B5482">
      <w:pPr>
        <w:rPr>
          <w:lang w:val="en-GB"/>
        </w:rPr>
      </w:pPr>
    </w:p>
    <w:p w14:paraId="7470F244" w14:textId="642922EB" w:rsidR="008C1DE2" w:rsidRPr="00517534" w:rsidRDefault="008C1DE2" w:rsidP="004B5482">
      <w:pPr>
        <w:rPr>
          <w:b/>
          <w:lang w:val="en-GB"/>
        </w:rPr>
      </w:pPr>
      <w:r w:rsidRPr="00517534">
        <w:rPr>
          <w:b/>
          <w:lang w:val="en-GB"/>
        </w:rPr>
        <w:t xml:space="preserve">Table </w:t>
      </w:r>
      <w:r w:rsidR="002A25F1" w:rsidRPr="00517534">
        <w:rPr>
          <w:b/>
          <w:lang w:val="en-GB"/>
        </w:rPr>
        <w:t>2</w:t>
      </w:r>
      <w:r w:rsidRPr="00517534">
        <w:rPr>
          <w:b/>
          <w:lang w:val="en-GB"/>
        </w:rPr>
        <w:t xml:space="preserve"> </w:t>
      </w:r>
      <w:r w:rsidR="008A48DE" w:rsidRPr="00517534">
        <w:rPr>
          <w:b/>
          <w:lang w:val="en-GB"/>
        </w:rPr>
        <w:t>Social protection spending</w:t>
      </w:r>
    </w:p>
    <w:tbl>
      <w:tblPr>
        <w:tblStyle w:val="ListTable2"/>
        <w:tblW w:w="5000" w:type="pct"/>
        <w:tblLook w:val="04A0" w:firstRow="1" w:lastRow="0" w:firstColumn="1" w:lastColumn="0" w:noHBand="0" w:noVBand="1"/>
      </w:tblPr>
      <w:tblGrid>
        <w:gridCol w:w="2182"/>
        <w:gridCol w:w="1141"/>
        <w:gridCol w:w="1141"/>
        <w:gridCol w:w="1141"/>
        <w:gridCol w:w="1141"/>
        <w:gridCol w:w="1141"/>
        <w:gridCol w:w="1139"/>
      </w:tblGrid>
      <w:tr w:rsidR="00A81B43" w:rsidRPr="00517534" w14:paraId="72BC1FD8" w14:textId="77777777" w:rsidTr="00D33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shd w:val="clear" w:color="auto" w:fill="auto"/>
          </w:tcPr>
          <w:p w14:paraId="2C0B1A62" w14:textId="77777777" w:rsidR="00A81B43" w:rsidRPr="00517534" w:rsidRDefault="00A81B43" w:rsidP="004B5482">
            <w:pPr>
              <w:rPr>
                <w:lang w:val="en-GB"/>
              </w:rPr>
            </w:pPr>
          </w:p>
        </w:tc>
        <w:tc>
          <w:tcPr>
            <w:tcW w:w="632" w:type="pct"/>
            <w:shd w:val="clear" w:color="auto" w:fill="auto"/>
          </w:tcPr>
          <w:p w14:paraId="40FFE8DC" w14:textId="77777777" w:rsidR="00A81B43" w:rsidRPr="00517534" w:rsidRDefault="00A81B43"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2010</w:t>
            </w:r>
          </w:p>
        </w:tc>
        <w:tc>
          <w:tcPr>
            <w:tcW w:w="632" w:type="pct"/>
            <w:shd w:val="clear" w:color="auto" w:fill="auto"/>
          </w:tcPr>
          <w:p w14:paraId="34950FCC" w14:textId="77777777" w:rsidR="00A81B43" w:rsidRPr="00517534" w:rsidRDefault="00A81B43"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2011</w:t>
            </w:r>
          </w:p>
        </w:tc>
        <w:tc>
          <w:tcPr>
            <w:tcW w:w="632" w:type="pct"/>
            <w:shd w:val="clear" w:color="auto" w:fill="auto"/>
          </w:tcPr>
          <w:p w14:paraId="558BD0B6" w14:textId="77777777" w:rsidR="00A81B43" w:rsidRPr="00517534" w:rsidRDefault="00A81B43"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2012</w:t>
            </w:r>
          </w:p>
        </w:tc>
        <w:tc>
          <w:tcPr>
            <w:tcW w:w="632" w:type="pct"/>
            <w:shd w:val="clear" w:color="auto" w:fill="auto"/>
          </w:tcPr>
          <w:p w14:paraId="6FD2BA85" w14:textId="77777777" w:rsidR="00A81B43" w:rsidRPr="00517534" w:rsidRDefault="00A81B43"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2013</w:t>
            </w:r>
          </w:p>
        </w:tc>
        <w:tc>
          <w:tcPr>
            <w:tcW w:w="632" w:type="pct"/>
            <w:shd w:val="clear" w:color="auto" w:fill="auto"/>
          </w:tcPr>
          <w:p w14:paraId="024A6972" w14:textId="77777777" w:rsidR="00A81B43" w:rsidRPr="00517534" w:rsidRDefault="00A81B43"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2014</w:t>
            </w:r>
          </w:p>
        </w:tc>
        <w:tc>
          <w:tcPr>
            <w:tcW w:w="631" w:type="pct"/>
            <w:shd w:val="clear" w:color="auto" w:fill="auto"/>
          </w:tcPr>
          <w:p w14:paraId="7BBBE7E4" w14:textId="77777777" w:rsidR="00A81B43" w:rsidRPr="00517534" w:rsidRDefault="00A81B43" w:rsidP="004B5482">
            <w:pPr>
              <w:cnfStyle w:val="100000000000" w:firstRow="1" w:lastRow="0" w:firstColumn="0" w:lastColumn="0" w:oddVBand="0" w:evenVBand="0" w:oddHBand="0" w:evenHBand="0" w:firstRowFirstColumn="0" w:firstRowLastColumn="0" w:lastRowFirstColumn="0" w:lastRowLastColumn="0"/>
              <w:rPr>
                <w:lang w:val="en-GB"/>
              </w:rPr>
            </w:pPr>
            <w:r w:rsidRPr="00517534">
              <w:rPr>
                <w:lang w:val="en-GB"/>
              </w:rPr>
              <w:t>2015</w:t>
            </w:r>
          </w:p>
        </w:tc>
      </w:tr>
      <w:tr w:rsidR="00A81B43" w:rsidRPr="00517534" w14:paraId="608875C0" w14:textId="77777777" w:rsidTr="00D33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shd w:val="clear" w:color="auto" w:fill="auto"/>
          </w:tcPr>
          <w:p w14:paraId="342222B4" w14:textId="77777777" w:rsidR="00A81B43" w:rsidRPr="00517534" w:rsidRDefault="00A81B43" w:rsidP="004B5482">
            <w:pPr>
              <w:rPr>
                <w:lang w:val="en-GB"/>
              </w:rPr>
            </w:pPr>
            <w:r w:rsidRPr="00517534">
              <w:rPr>
                <w:lang w:val="en-GB"/>
              </w:rPr>
              <w:t>- as % of GDP</w:t>
            </w:r>
          </w:p>
        </w:tc>
        <w:tc>
          <w:tcPr>
            <w:tcW w:w="632" w:type="pct"/>
            <w:shd w:val="clear" w:color="auto" w:fill="auto"/>
          </w:tcPr>
          <w:p w14:paraId="1C9A1747" w14:textId="77777777" w:rsidR="00A81B43" w:rsidRPr="00517534" w:rsidRDefault="00A81B43"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3.9</w:t>
            </w:r>
          </w:p>
        </w:tc>
        <w:tc>
          <w:tcPr>
            <w:tcW w:w="632" w:type="pct"/>
            <w:shd w:val="clear" w:color="auto" w:fill="auto"/>
          </w:tcPr>
          <w:p w14:paraId="5E7BC7FF" w14:textId="77777777" w:rsidR="00A81B43" w:rsidRPr="00517534" w:rsidRDefault="00A81B43"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3.7</w:t>
            </w:r>
          </w:p>
        </w:tc>
        <w:tc>
          <w:tcPr>
            <w:tcW w:w="632" w:type="pct"/>
            <w:shd w:val="clear" w:color="auto" w:fill="auto"/>
          </w:tcPr>
          <w:p w14:paraId="4DB46D3C" w14:textId="77777777" w:rsidR="00A81B43" w:rsidRPr="00517534" w:rsidRDefault="00A81B43"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3.9</w:t>
            </w:r>
          </w:p>
        </w:tc>
        <w:tc>
          <w:tcPr>
            <w:tcW w:w="632" w:type="pct"/>
            <w:shd w:val="clear" w:color="auto" w:fill="auto"/>
          </w:tcPr>
          <w:p w14:paraId="1DCF6A58" w14:textId="77777777" w:rsidR="00A81B43" w:rsidRPr="00517534" w:rsidRDefault="00A81B43"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4.3</w:t>
            </w:r>
          </w:p>
        </w:tc>
        <w:tc>
          <w:tcPr>
            <w:tcW w:w="632" w:type="pct"/>
            <w:shd w:val="clear" w:color="auto" w:fill="auto"/>
          </w:tcPr>
          <w:p w14:paraId="392F79C0" w14:textId="77777777" w:rsidR="00A81B43" w:rsidRPr="00517534" w:rsidRDefault="00A81B43"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5.1</w:t>
            </w:r>
          </w:p>
        </w:tc>
        <w:tc>
          <w:tcPr>
            <w:tcW w:w="631" w:type="pct"/>
            <w:shd w:val="clear" w:color="auto" w:fill="auto"/>
          </w:tcPr>
          <w:p w14:paraId="6D5E9509" w14:textId="77777777" w:rsidR="00A81B43" w:rsidRPr="00517534" w:rsidRDefault="00A81B43" w:rsidP="004B5482">
            <w:pPr>
              <w:cnfStyle w:val="000000100000" w:firstRow="0" w:lastRow="0" w:firstColumn="0" w:lastColumn="0" w:oddVBand="0" w:evenVBand="0" w:oddHBand="1" w:evenHBand="0" w:firstRowFirstColumn="0" w:firstRowLastColumn="0" w:lastRowFirstColumn="0" w:lastRowLastColumn="0"/>
              <w:rPr>
                <w:lang w:val="en-GB"/>
              </w:rPr>
            </w:pPr>
            <w:r w:rsidRPr="00517534">
              <w:rPr>
                <w:lang w:val="en-GB"/>
              </w:rPr>
              <w:t>5.3</w:t>
            </w:r>
          </w:p>
        </w:tc>
      </w:tr>
      <w:tr w:rsidR="00A81B43" w:rsidRPr="00517534" w14:paraId="1EDA9250" w14:textId="77777777" w:rsidTr="00D33C4A">
        <w:tc>
          <w:tcPr>
            <w:cnfStyle w:val="001000000000" w:firstRow="0" w:lastRow="0" w:firstColumn="1" w:lastColumn="0" w:oddVBand="0" w:evenVBand="0" w:oddHBand="0" w:evenHBand="0" w:firstRowFirstColumn="0" w:firstRowLastColumn="0" w:lastRowFirstColumn="0" w:lastRowLastColumn="0"/>
            <w:tcW w:w="1209" w:type="pct"/>
            <w:shd w:val="clear" w:color="auto" w:fill="auto"/>
          </w:tcPr>
          <w:p w14:paraId="6E1A2DC6" w14:textId="5BCA637E" w:rsidR="00A81B43" w:rsidRPr="00517534" w:rsidRDefault="00A81B43" w:rsidP="004B5482">
            <w:pPr>
              <w:rPr>
                <w:lang w:val="en-GB"/>
              </w:rPr>
            </w:pPr>
            <w:r w:rsidRPr="00517534">
              <w:rPr>
                <w:lang w:val="en-GB"/>
              </w:rPr>
              <w:t>- as % of govt exp</w:t>
            </w:r>
            <w:r w:rsidR="0001371F" w:rsidRPr="00517534">
              <w:rPr>
                <w:lang w:val="en-GB"/>
              </w:rPr>
              <w:t>enditure</w:t>
            </w:r>
          </w:p>
        </w:tc>
        <w:tc>
          <w:tcPr>
            <w:tcW w:w="632" w:type="pct"/>
            <w:shd w:val="clear" w:color="auto" w:fill="auto"/>
          </w:tcPr>
          <w:p w14:paraId="7D5AFBC3" w14:textId="77777777" w:rsidR="00A81B43" w:rsidRPr="00517534" w:rsidRDefault="00A81B43"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14.1</w:t>
            </w:r>
          </w:p>
        </w:tc>
        <w:tc>
          <w:tcPr>
            <w:tcW w:w="632" w:type="pct"/>
            <w:shd w:val="clear" w:color="auto" w:fill="auto"/>
          </w:tcPr>
          <w:p w14:paraId="26796B57" w14:textId="77777777" w:rsidR="00A81B43" w:rsidRPr="00517534" w:rsidRDefault="00A81B43"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12.9</w:t>
            </w:r>
          </w:p>
        </w:tc>
        <w:tc>
          <w:tcPr>
            <w:tcW w:w="632" w:type="pct"/>
            <w:shd w:val="clear" w:color="auto" w:fill="auto"/>
          </w:tcPr>
          <w:p w14:paraId="1B17BA0E" w14:textId="77777777" w:rsidR="00A81B43" w:rsidRPr="00517534" w:rsidRDefault="00A81B43"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13.7</w:t>
            </w:r>
          </w:p>
        </w:tc>
        <w:tc>
          <w:tcPr>
            <w:tcW w:w="632" w:type="pct"/>
            <w:shd w:val="clear" w:color="auto" w:fill="auto"/>
          </w:tcPr>
          <w:p w14:paraId="78496F91" w14:textId="77777777" w:rsidR="00A81B43" w:rsidRPr="00517534" w:rsidRDefault="00A81B43"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15.3</w:t>
            </w:r>
          </w:p>
        </w:tc>
        <w:tc>
          <w:tcPr>
            <w:tcW w:w="632" w:type="pct"/>
            <w:shd w:val="clear" w:color="auto" w:fill="auto"/>
          </w:tcPr>
          <w:p w14:paraId="344A0EA1" w14:textId="77777777" w:rsidR="00A81B43" w:rsidRPr="00517534" w:rsidRDefault="00A81B43"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18.7</w:t>
            </w:r>
          </w:p>
        </w:tc>
        <w:tc>
          <w:tcPr>
            <w:tcW w:w="631" w:type="pct"/>
            <w:shd w:val="clear" w:color="auto" w:fill="auto"/>
          </w:tcPr>
          <w:p w14:paraId="18200132" w14:textId="77777777" w:rsidR="00A81B43" w:rsidRPr="00517534" w:rsidRDefault="00A81B43" w:rsidP="004B5482">
            <w:pPr>
              <w:cnfStyle w:val="000000000000" w:firstRow="0" w:lastRow="0" w:firstColumn="0" w:lastColumn="0" w:oddVBand="0" w:evenVBand="0" w:oddHBand="0" w:evenHBand="0" w:firstRowFirstColumn="0" w:firstRowLastColumn="0" w:lastRowFirstColumn="0" w:lastRowLastColumn="0"/>
              <w:rPr>
                <w:lang w:val="en-GB"/>
              </w:rPr>
            </w:pPr>
            <w:r w:rsidRPr="00517534">
              <w:rPr>
                <w:lang w:val="en-GB"/>
              </w:rPr>
              <w:t>19.0</w:t>
            </w:r>
          </w:p>
        </w:tc>
      </w:tr>
    </w:tbl>
    <w:p w14:paraId="422BD4EA" w14:textId="77777777" w:rsidR="001D71CE" w:rsidRPr="00517534" w:rsidRDefault="001D71CE" w:rsidP="004B5482">
      <w:pPr>
        <w:rPr>
          <w:lang w:val="en-GB"/>
        </w:rPr>
      </w:pPr>
      <w:r w:rsidRPr="00517534">
        <w:rPr>
          <w:i/>
          <w:lang w:val="en-GB"/>
        </w:rPr>
        <w:t xml:space="preserve">Source: </w:t>
      </w:r>
      <w:r w:rsidRPr="00517534">
        <w:rPr>
          <w:lang w:val="en-GB"/>
        </w:rPr>
        <w:t>KAS (201</w:t>
      </w:r>
      <w:r w:rsidR="00047F75" w:rsidRPr="00517534">
        <w:rPr>
          <w:lang w:val="en-GB"/>
        </w:rPr>
        <w:t>6</w:t>
      </w:r>
      <w:r w:rsidRPr="00517534">
        <w:rPr>
          <w:lang w:val="en-GB"/>
        </w:rPr>
        <w:t>).</w:t>
      </w:r>
    </w:p>
    <w:p w14:paraId="2693E449" w14:textId="77777777" w:rsidR="008C1DE2" w:rsidRPr="00517534" w:rsidRDefault="008C1DE2" w:rsidP="004B5482">
      <w:pPr>
        <w:rPr>
          <w:lang w:val="en-GB"/>
        </w:rPr>
      </w:pPr>
      <w:r w:rsidRPr="00517534" w:rsidDel="00E40DD5">
        <w:rPr>
          <w:lang w:val="en-GB"/>
        </w:rPr>
        <w:t xml:space="preserve"> </w:t>
      </w:r>
    </w:p>
    <w:p w14:paraId="12A97EBE" w14:textId="3E31131C" w:rsidR="008C1DE2" w:rsidRPr="00517534" w:rsidRDefault="008C1DE2" w:rsidP="00771E9C">
      <w:pPr>
        <w:ind w:firstLine="708"/>
        <w:rPr>
          <w:lang w:val="en-GB"/>
        </w:rPr>
      </w:pPr>
      <w:r w:rsidRPr="00517534">
        <w:rPr>
          <w:lang w:val="en-GB"/>
        </w:rPr>
        <w:t xml:space="preserve">The contributory pension was introduced in 2007 (Decision of the Government no. 13/277), </w:t>
      </w:r>
      <w:r w:rsidR="002A25F1" w:rsidRPr="00517534">
        <w:rPr>
          <w:lang w:val="en-GB"/>
        </w:rPr>
        <w:t xml:space="preserve">also to compensate for </w:t>
      </w:r>
      <w:r w:rsidRPr="00517534">
        <w:rPr>
          <w:lang w:val="en-GB"/>
        </w:rPr>
        <w:t>a basic pension that does not take into account previous contributions (</w:t>
      </w:r>
      <w:proofErr w:type="spellStart"/>
      <w:r w:rsidRPr="00517534">
        <w:rPr>
          <w:lang w:val="en-GB"/>
        </w:rPr>
        <w:t>Loxha</w:t>
      </w:r>
      <w:proofErr w:type="spellEnd"/>
      <w:r w:rsidRPr="00517534">
        <w:rPr>
          <w:lang w:val="en-GB"/>
        </w:rPr>
        <w:t>, 2012). It is budget-financed and targeted to citizens aged 65 and over with at least 15 years of contributions prior to 1999 into the social security scheme of Yugoslavia (</w:t>
      </w:r>
      <w:r w:rsidR="002A25F1" w:rsidRPr="00517534">
        <w:rPr>
          <w:lang w:val="en-GB"/>
        </w:rPr>
        <w:t>part of the contribution records survived</w:t>
      </w:r>
      <w:r w:rsidRPr="00517534">
        <w:rPr>
          <w:lang w:val="en-GB"/>
        </w:rPr>
        <w:t>).</w:t>
      </w:r>
      <w:r w:rsidR="00F91036" w:rsidRPr="00517534">
        <w:rPr>
          <w:lang w:val="en-GB"/>
        </w:rPr>
        <w:t xml:space="preserve"> It employs similar residence and administrative procedures as basic pensions.</w:t>
      </w:r>
    </w:p>
    <w:p w14:paraId="6C3FB33E" w14:textId="6C4C7010" w:rsidR="008C1DE2" w:rsidRPr="00517534" w:rsidRDefault="008C1DE2" w:rsidP="00771E9C">
      <w:pPr>
        <w:ind w:firstLine="708"/>
        <w:rPr>
          <w:lang w:val="en-GB"/>
        </w:rPr>
      </w:pPr>
      <w:r w:rsidRPr="00517534">
        <w:rPr>
          <w:lang w:val="en-GB"/>
        </w:rPr>
        <w:t>In 2014, the contributory pension</w:t>
      </w:r>
      <w:r w:rsidR="008A48DE" w:rsidRPr="00517534">
        <w:rPr>
          <w:lang w:val="en-GB"/>
        </w:rPr>
        <w:t xml:space="preserve"> changed significantly</w:t>
      </w:r>
      <w:r w:rsidR="00AB4481" w:rsidRPr="00517534">
        <w:rPr>
          <w:lang w:val="en-GB"/>
        </w:rPr>
        <w:t xml:space="preserve"> (Law no. 04/l-131 on pension schemes financed by the state)</w:t>
      </w:r>
      <w:r w:rsidRPr="00517534">
        <w:rPr>
          <w:lang w:val="en-GB"/>
        </w:rPr>
        <w:t xml:space="preserve">. </w:t>
      </w:r>
      <w:r w:rsidR="008A48DE" w:rsidRPr="00517534">
        <w:rPr>
          <w:lang w:val="en-GB"/>
        </w:rPr>
        <w:t>V</w:t>
      </w:r>
      <w:r w:rsidRPr="00517534">
        <w:rPr>
          <w:lang w:val="en-GB"/>
        </w:rPr>
        <w:t xml:space="preserve">arious non-contributory periods count towards eligibility, such as years of work in the parallel health, education and other sectors in Kosovo </w:t>
      </w:r>
      <w:r w:rsidR="008A48DE" w:rsidRPr="00517534">
        <w:rPr>
          <w:lang w:val="en-GB"/>
        </w:rPr>
        <w:t>during</w:t>
      </w:r>
      <w:r w:rsidRPr="00517534">
        <w:rPr>
          <w:lang w:val="en-GB"/>
        </w:rPr>
        <w:t xml:space="preserve"> 1989</w:t>
      </w:r>
      <w:r w:rsidR="008A48DE" w:rsidRPr="00517534">
        <w:rPr>
          <w:lang w:val="en-GB"/>
        </w:rPr>
        <w:t>-</w:t>
      </w:r>
      <w:r w:rsidRPr="00517534">
        <w:rPr>
          <w:lang w:val="en-GB"/>
        </w:rPr>
        <w:t xml:space="preserve">99. </w:t>
      </w:r>
      <w:r w:rsidR="008A48DE" w:rsidRPr="00517534">
        <w:rPr>
          <w:lang w:val="en-GB"/>
        </w:rPr>
        <w:t xml:space="preserve">From 2016, </w:t>
      </w:r>
      <w:r w:rsidRPr="00517534">
        <w:rPr>
          <w:lang w:val="en-GB"/>
        </w:rPr>
        <w:t xml:space="preserve">beneficiaries are granted an extra 25 years of notional earnings history, rewarded with a 0.5 per cent increase per service year. </w:t>
      </w:r>
      <w:r w:rsidR="008A48DE" w:rsidRPr="00517534">
        <w:rPr>
          <w:lang w:val="en-GB"/>
        </w:rPr>
        <w:t>T</w:t>
      </w:r>
      <w:r w:rsidRPr="00517534">
        <w:rPr>
          <w:lang w:val="en-GB"/>
        </w:rPr>
        <w:t xml:space="preserve">here </w:t>
      </w:r>
      <w:r w:rsidR="008A48DE" w:rsidRPr="00517534">
        <w:rPr>
          <w:lang w:val="en-GB"/>
        </w:rPr>
        <w:t>is</w:t>
      </w:r>
      <w:r w:rsidRPr="00517534">
        <w:rPr>
          <w:lang w:val="en-GB"/>
        </w:rPr>
        <w:t xml:space="preserve"> benefit differentiation according to education attainment</w:t>
      </w:r>
      <w:r w:rsidR="008A48DE" w:rsidRPr="00517534">
        <w:rPr>
          <w:lang w:val="en-GB"/>
        </w:rPr>
        <w:t>, a proxy for</w:t>
      </w:r>
      <w:r w:rsidRPr="00517534">
        <w:rPr>
          <w:lang w:val="en-GB"/>
        </w:rPr>
        <w:t xml:space="preserve"> </w:t>
      </w:r>
      <w:r w:rsidR="008A48DE" w:rsidRPr="00517534">
        <w:rPr>
          <w:lang w:val="en-GB"/>
        </w:rPr>
        <w:t>the</w:t>
      </w:r>
      <w:r w:rsidRPr="00517534">
        <w:rPr>
          <w:lang w:val="en-GB"/>
        </w:rPr>
        <w:t xml:space="preserve"> earnings-related </w:t>
      </w:r>
      <w:r w:rsidR="008A48DE" w:rsidRPr="00517534">
        <w:rPr>
          <w:lang w:val="en-GB"/>
        </w:rPr>
        <w:t>scheme</w:t>
      </w:r>
      <w:r w:rsidRPr="00517534">
        <w:rPr>
          <w:lang w:val="en-GB"/>
        </w:rPr>
        <w:t>.</w:t>
      </w:r>
    </w:p>
    <w:p w14:paraId="4B741557" w14:textId="6CFF1709" w:rsidR="00B31E07" w:rsidRPr="00517534" w:rsidRDefault="00B31E07" w:rsidP="00771E9C">
      <w:pPr>
        <w:ind w:firstLine="708"/>
        <w:rPr>
          <w:lang w:val="en-GB"/>
        </w:rPr>
      </w:pPr>
      <w:r w:rsidRPr="00517534">
        <w:rPr>
          <w:lang w:val="en-GB"/>
        </w:rPr>
        <w:lastRenderedPageBreak/>
        <w:t>Similar to basic pensions, the scheme’s generosity and coverage increased. In 2017, the over 43 thousand eligible individuals were entitled to a flat benefit ranging from €158 for persons</w:t>
      </w:r>
      <w:r w:rsidR="00B64285">
        <w:rPr>
          <w:lang w:val="en-GB"/>
        </w:rPr>
        <w:t xml:space="preserve"> with no education</w:t>
      </w:r>
      <w:r w:rsidRPr="00517534">
        <w:rPr>
          <w:lang w:val="en-GB"/>
        </w:rPr>
        <w:t xml:space="preserve"> to €230 for people with a university degree. In 2015, the total budgetary cost amounted to almost 1.2 per cent of GDP.</w:t>
      </w:r>
    </w:p>
    <w:p w14:paraId="74654381" w14:textId="66F605FF" w:rsidR="00E10229" w:rsidRPr="00517534" w:rsidRDefault="00E10229" w:rsidP="00E10229">
      <w:pPr>
        <w:pStyle w:val="Heading2"/>
        <w:spacing w:line="240" w:lineRule="auto"/>
      </w:pPr>
      <w:r w:rsidRPr="00517534">
        <w:t>Expert assessment</w:t>
      </w:r>
    </w:p>
    <w:p w14:paraId="7C218B1B" w14:textId="1123B453" w:rsidR="008C1DE2" w:rsidRPr="00517534" w:rsidRDefault="008C1DE2" w:rsidP="00771E9C">
      <w:pPr>
        <w:ind w:firstLine="708"/>
        <w:rPr>
          <w:lang w:val="en-GB"/>
        </w:rPr>
      </w:pPr>
      <w:r w:rsidRPr="00517534">
        <w:rPr>
          <w:lang w:val="en-GB"/>
        </w:rPr>
        <w:t xml:space="preserve">Kosovar reforms are part of a wider trend, where non-contributory </w:t>
      </w:r>
      <w:r w:rsidR="00FF784B" w:rsidRPr="00517534">
        <w:rPr>
          <w:lang w:val="en-GB"/>
        </w:rPr>
        <w:t>schemes</w:t>
      </w:r>
      <w:r w:rsidR="00B31E07" w:rsidRPr="00517534">
        <w:rPr>
          <w:lang w:val="en-GB"/>
        </w:rPr>
        <w:t>,</w:t>
      </w:r>
      <w:r w:rsidRPr="00517534">
        <w:rPr>
          <w:lang w:val="en-GB"/>
        </w:rPr>
        <w:t xml:space="preserve"> </w:t>
      </w:r>
      <w:r w:rsidR="00B31E07" w:rsidRPr="00517534">
        <w:rPr>
          <w:lang w:val="en-GB"/>
        </w:rPr>
        <w:t xml:space="preserve">such as </w:t>
      </w:r>
      <w:r w:rsidRPr="00517534">
        <w:rPr>
          <w:lang w:val="en-GB"/>
        </w:rPr>
        <w:t>the basic pension</w:t>
      </w:r>
      <w:r w:rsidR="00B31E07" w:rsidRPr="00517534">
        <w:rPr>
          <w:lang w:val="en-GB"/>
        </w:rPr>
        <w:t>,</w:t>
      </w:r>
      <w:r w:rsidR="00FF784B" w:rsidRPr="00517534">
        <w:rPr>
          <w:lang w:val="en-GB"/>
        </w:rPr>
        <w:t xml:space="preserve"> are introduced</w:t>
      </w:r>
      <w:r w:rsidRPr="00517534">
        <w:rPr>
          <w:lang w:val="en-GB"/>
        </w:rPr>
        <w:t xml:space="preserve"> to increase coverage in countries with large informal labour markets (ILO, 2017). Universal non-means-tested pensions are perceived to have many advantag</w:t>
      </w:r>
      <w:r w:rsidR="005A3D02" w:rsidRPr="00517534">
        <w:rPr>
          <w:lang w:val="en-GB"/>
        </w:rPr>
        <w:t>es over targeted ones. They are</w:t>
      </w:r>
      <w:r w:rsidRPr="00517534">
        <w:rPr>
          <w:i/>
          <w:lang w:val="en-GB"/>
        </w:rPr>
        <w:t xml:space="preserve"> “probably the best way to provide poverty relief to the elderly. Considering the difficulty of identifying who among the elderly is poor, the principal merit of the program is that its universality avoids the targeting issue”</w:t>
      </w:r>
      <w:r w:rsidR="005A3D02" w:rsidRPr="00517534">
        <w:rPr>
          <w:i/>
          <w:lang w:val="en-GB"/>
        </w:rPr>
        <w:t xml:space="preserve"> </w:t>
      </w:r>
      <w:r w:rsidR="005A3D02" w:rsidRPr="00517534">
        <w:rPr>
          <w:lang w:val="en-GB"/>
        </w:rPr>
        <w:t>(</w:t>
      </w:r>
      <w:proofErr w:type="spellStart"/>
      <w:r w:rsidR="005A3D02" w:rsidRPr="00517534">
        <w:rPr>
          <w:lang w:val="en-GB"/>
        </w:rPr>
        <w:t>Holzmann</w:t>
      </w:r>
      <w:proofErr w:type="spellEnd"/>
      <w:r w:rsidR="005A3D02" w:rsidRPr="00517534">
        <w:rPr>
          <w:lang w:val="en-GB"/>
        </w:rPr>
        <w:t xml:space="preserve"> and </w:t>
      </w:r>
      <w:proofErr w:type="spellStart"/>
      <w:r w:rsidR="005A3D02" w:rsidRPr="00517534">
        <w:rPr>
          <w:lang w:val="en-GB"/>
        </w:rPr>
        <w:t>Hinz</w:t>
      </w:r>
      <w:proofErr w:type="spellEnd"/>
      <w:r w:rsidR="005A3D02" w:rsidRPr="00517534">
        <w:rPr>
          <w:lang w:val="en-GB"/>
        </w:rPr>
        <w:t>, 2005: 95)</w:t>
      </w:r>
      <w:r w:rsidRPr="00517534">
        <w:rPr>
          <w:lang w:val="en-GB"/>
        </w:rPr>
        <w:t xml:space="preserve">. </w:t>
      </w:r>
    </w:p>
    <w:p w14:paraId="2DE2980D" w14:textId="46D20FC9" w:rsidR="008C1DE2" w:rsidRPr="00517534" w:rsidRDefault="008A48DE" w:rsidP="00771E9C">
      <w:pPr>
        <w:ind w:firstLine="708"/>
        <w:rPr>
          <w:lang w:val="en-GB"/>
        </w:rPr>
      </w:pPr>
      <w:r w:rsidRPr="00517534">
        <w:rPr>
          <w:lang w:val="en-GB"/>
        </w:rPr>
        <w:t>Yet,</w:t>
      </w:r>
      <w:r w:rsidR="008C1DE2" w:rsidRPr="00517534">
        <w:rPr>
          <w:lang w:val="en-GB"/>
        </w:rPr>
        <w:t xml:space="preserve"> unconditional schemes are</w:t>
      </w:r>
      <w:r w:rsidRPr="00517534">
        <w:rPr>
          <w:lang w:val="en-GB"/>
        </w:rPr>
        <w:t xml:space="preserve"> </w:t>
      </w:r>
      <w:r w:rsidR="008C1DE2" w:rsidRPr="00517534">
        <w:rPr>
          <w:lang w:val="en-GB"/>
        </w:rPr>
        <w:t xml:space="preserve">rare (see Willmore, 2007). Kosovo is </w:t>
      </w:r>
      <w:r w:rsidR="00FF784B" w:rsidRPr="00517534">
        <w:rPr>
          <w:lang w:val="en-GB"/>
        </w:rPr>
        <w:t>not</w:t>
      </w:r>
      <w:r w:rsidR="008C1DE2" w:rsidRPr="00517534">
        <w:rPr>
          <w:lang w:val="en-GB"/>
        </w:rPr>
        <w:t xml:space="preserve"> only</w:t>
      </w:r>
      <w:r w:rsidR="00FF784B" w:rsidRPr="00517534">
        <w:rPr>
          <w:lang w:val="en-GB"/>
        </w:rPr>
        <w:t xml:space="preserve"> the sole</w:t>
      </w:r>
      <w:r w:rsidR="008C1DE2" w:rsidRPr="00517534">
        <w:rPr>
          <w:lang w:val="en-GB"/>
        </w:rPr>
        <w:t xml:space="preserve"> transition post-socialist country that </w:t>
      </w:r>
      <w:r w:rsidR="00B64285">
        <w:rPr>
          <w:lang w:val="en-GB"/>
        </w:rPr>
        <w:t>implemented</w:t>
      </w:r>
      <w:r w:rsidR="008C1DE2" w:rsidRPr="00517534">
        <w:rPr>
          <w:lang w:val="en-GB"/>
        </w:rPr>
        <w:t xml:space="preserve"> one</w:t>
      </w:r>
      <w:r w:rsidR="00FF784B" w:rsidRPr="00517534">
        <w:rPr>
          <w:lang w:val="en-GB"/>
        </w:rPr>
        <w:t>, but also it</w:t>
      </w:r>
      <w:r w:rsidR="008C1DE2" w:rsidRPr="00517534">
        <w:rPr>
          <w:lang w:val="en-GB"/>
        </w:rPr>
        <w:t xml:space="preserve"> </w:t>
      </w:r>
      <w:r w:rsidR="00B31E07" w:rsidRPr="00517534">
        <w:rPr>
          <w:lang w:val="en-GB"/>
        </w:rPr>
        <w:t xml:space="preserve">adopted </w:t>
      </w:r>
      <w:r w:rsidR="008C1DE2" w:rsidRPr="00517534">
        <w:rPr>
          <w:lang w:val="en-GB"/>
        </w:rPr>
        <w:t xml:space="preserve">current residency </w:t>
      </w:r>
      <w:r w:rsidR="00B31E07" w:rsidRPr="00517534">
        <w:rPr>
          <w:lang w:val="en-GB"/>
        </w:rPr>
        <w:t>as</w:t>
      </w:r>
      <w:r w:rsidR="008C1DE2" w:rsidRPr="00517534">
        <w:rPr>
          <w:lang w:val="en-GB"/>
        </w:rPr>
        <w:t xml:space="preserve"> the </w:t>
      </w:r>
      <w:r w:rsidR="00B31E07" w:rsidRPr="00517534">
        <w:rPr>
          <w:lang w:val="en-GB"/>
        </w:rPr>
        <w:t>s</w:t>
      </w:r>
      <w:r w:rsidR="00476A07" w:rsidRPr="00517534">
        <w:rPr>
          <w:lang w:val="en-GB"/>
        </w:rPr>
        <w:t>ingle</w:t>
      </w:r>
      <w:r w:rsidR="008C1DE2" w:rsidRPr="00517534">
        <w:rPr>
          <w:lang w:val="en-GB"/>
        </w:rPr>
        <w:t xml:space="preserve"> requirement</w:t>
      </w:r>
      <w:r w:rsidR="00FF784B" w:rsidRPr="00517534">
        <w:rPr>
          <w:lang w:val="en-GB"/>
        </w:rPr>
        <w:t xml:space="preserve"> beyond the qualifying age</w:t>
      </w:r>
      <w:r w:rsidR="008C1DE2" w:rsidRPr="00517534">
        <w:rPr>
          <w:lang w:val="en-GB"/>
        </w:rPr>
        <w:t>. Elsewhere, the prospective beneficiary has to demonstrate to either have resided for a number of years, to be a citizen or both.</w:t>
      </w:r>
    </w:p>
    <w:p w14:paraId="5770C213" w14:textId="73CE4A71" w:rsidR="008C1DE2" w:rsidRPr="00517534" w:rsidRDefault="00FF784B" w:rsidP="00771E9C">
      <w:pPr>
        <w:ind w:firstLine="708"/>
        <w:rPr>
          <w:lang w:val="en-GB"/>
        </w:rPr>
      </w:pPr>
      <w:r w:rsidRPr="00517534">
        <w:rPr>
          <w:lang w:val="en-GB"/>
        </w:rPr>
        <w:t>T</w:t>
      </w:r>
      <w:r w:rsidR="008C1DE2" w:rsidRPr="00517534">
        <w:rPr>
          <w:lang w:val="en-GB"/>
        </w:rPr>
        <w:t xml:space="preserve">he Kosovar basic age pension </w:t>
      </w:r>
      <w:r w:rsidRPr="00517534">
        <w:rPr>
          <w:lang w:val="en-GB"/>
        </w:rPr>
        <w:t>pays</w:t>
      </w:r>
      <w:r w:rsidR="008C1DE2" w:rsidRPr="00517534">
        <w:rPr>
          <w:lang w:val="en-GB"/>
        </w:rPr>
        <w:t xml:space="preserve"> benefits to</w:t>
      </w:r>
      <w:r w:rsidRPr="00517534">
        <w:rPr>
          <w:lang w:val="en-GB"/>
        </w:rPr>
        <w:t xml:space="preserve"> a relatively high</w:t>
      </w:r>
      <w:r w:rsidR="008C1DE2" w:rsidRPr="00517534">
        <w:rPr>
          <w:lang w:val="en-GB"/>
        </w:rPr>
        <w:t xml:space="preserve"> </w:t>
      </w:r>
      <w:r w:rsidRPr="00517534">
        <w:rPr>
          <w:lang w:val="en-GB"/>
        </w:rPr>
        <w:t>share of the population (</w:t>
      </w:r>
      <w:r w:rsidR="008C1DE2" w:rsidRPr="00517534">
        <w:rPr>
          <w:lang w:val="en-GB"/>
        </w:rPr>
        <w:t>circa 7.4 per cent in 2015</w:t>
      </w:r>
      <w:r w:rsidRPr="00517534">
        <w:rPr>
          <w:lang w:val="en-GB"/>
        </w:rPr>
        <w:t>)</w:t>
      </w:r>
      <w:r w:rsidR="008C1DE2" w:rsidRPr="00517534">
        <w:rPr>
          <w:lang w:val="en-GB"/>
        </w:rPr>
        <w:t xml:space="preserve">. </w:t>
      </w:r>
      <w:r w:rsidRPr="00517534">
        <w:rPr>
          <w:lang w:val="en-GB"/>
        </w:rPr>
        <w:t xml:space="preserve">At times it has been criticised for </w:t>
      </w:r>
      <w:r w:rsidR="00476A07" w:rsidRPr="00517534">
        <w:rPr>
          <w:lang w:val="en-GB"/>
        </w:rPr>
        <w:t xml:space="preserve">the ‘generosity’ of the benefits paid out, which </w:t>
      </w:r>
      <w:r w:rsidRPr="00517534">
        <w:rPr>
          <w:lang w:val="en-GB"/>
        </w:rPr>
        <w:t>exceed</w:t>
      </w:r>
      <w:r w:rsidR="00476A07" w:rsidRPr="00517534">
        <w:rPr>
          <w:lang w:val="en-GB"/>
        </w:rPr>
        <w:t>ed</w:t>
      </w:r>
      <w:r w:rsidR="008C1DE2" w:rsidRPr="00517534">
        <w:rPr>
          <w:lang w:val="en-GB"/>
        </w:rPr>
        <w:t xml:space="preserve"> the recommended and non-distortionary 15-20 per cent</w:t>
      </w:r>
      <w:r w:rsidRPr="00517534">
        <w:rPr>
          <w:lang w:val="en-GB"/>
        </w:rPr>
        <w:t xml:space="preserve"> of per capita GDP</w:t>
      </w:r>
      <w:r w:rsidR="008C1DE2" w:rsidRPr="00517534">
        <w:rPr>
          <w:lang w:val="en-GB"/>
        </w:rPr>
        <w:t xml:space="preserve"> (Palacios and </w:t>
      </w:r>
      <w:proofErr w:type="spellStart"/>
      <w:r w:rsidR="008C1DE2" w:rsidRPr="00517534">
        <w:rPr>
          <w:lang w:val="en-GB"/>
        </w:rPr>
        <w:t>Sluchynsky</w:t>
      </w:r>
      <w:proofErr w:type="spellEnd"/>
      <w:r w:rsidR="008C1DE2" w:rsidRPr="00517534">
        <w:rPr>
          <w:lang w:val="en-GB"/>
        </w:rPr>
        <w:t xml:space="preserve">, 2006). However, </w:t>
      </w:r>
      <w:r w:rsidRPr="00517534">
        <w:rPr>
          <w:lang w:val="en-GB"/>
        </w:rPr>
        <w:t xml:space="preserve">measurement issues, widespread complaints that benefits are insufficient to make a living and wide fluctuations in </w:t>
      </w:r>
      <w:r w:rsidR="00476A07" w:rsidRPr="00517534">
        <w:rPr>
          <w:lang w:val="en-GB"/>
        </w:rPr>
        <w:t>their value</w:t>
      </w:r>
      <w:r w:rsidRPr="00517534">
        <w:rPr>
          <w:lang w:val="en-GB"/>
        </w:rPr>
        <w:t xml:space="preserve"> (due to</w:t>
      </w:r>
      <w:r w:rsidR="008C1DE2" w:rsidRPr="00517534">
        <w:rPr>
          <w:lang w:val="en-GB"/>
        </w:rPr>
        <w:t xml:space="preserve"> ad hoc</w:t>
      </w:r>
      <w:r w:rsidRPr="00517534">
        <w:rPr>
          <w:lang w:val="en-GB"/>
        </w:rPr>
        <w:t xml:space="preserve"> adjustments)</w:t>
      </w:r>
      <w:r w:rsidR="008C1DE2" w:rsidRPr="00517534">
        <w:rPr>
          <w:lang w:val="en-GB"/>
        </w:rPr>
        <w:t xml:space="preserve">, </w:t>
      </w:r>
      <w:r w:rsidRPr="00517534">
        <w:rPr>
          <w:lang w:val="en-GB"/>
        </w:rPr>
        <w:t>indicate that the basic pension</w:t>
      </w:r>
      <w:r w:rsidR="00476A07" w:rsidRPr="00517534">
        <w:rPr>
          <w:lang w:val="en-GB"/>
        </w:rPr>
        <w:t>s do not significantly deviate from</w:t>
      </w:r>
      <w:r w:rsidRPr="00517534">
        <w:rPr>
          <w:lang w:val="en-GB"/>
        </w:rPr>
        <w:t xml:space="preserve"> </w:t>
      </w:r>
      <w:r w:rsidR="008C1DE2" w:rsidRPr="00517534">
        <w:rPr>
          <w:lang w:val="en-GB"/>
        </w:rPr>
        <w:t xml:space="preserve">the recommended </w:t>
      </w:r>
      <w:r w:rsidR="00476A07" w:rsidRPr="00517534">
        <w:rPr>
          <w:lang w:val="en-GB"/>
        </w:rPr>
        <w:t>amount</w:t>
      </w:r>
      <w:r w:rsidR="008C1DE2" w:rsidRPr="00517534">
        <w:rPr>
          <w:lang w:val="en-GB"/>
        </w:rPr>
        <w:t>.</w:t>
      </w:r>
    </w:p>
    <w:p w14:paraId="1BD237D5" w14:textId="3E13618E" w:rsidR="008C1DE2" w:rsidRPr="00517534" w:rsidRDefault="008C1DE2" w:rsidP="00771E9C">
      <w:pPr>
        <w:ind w:firstLine="708"/>
        <w:rPr>
          <w:lang w:val="en-GB"/>
        </w:rPr>
      </w:pPr>
      <w:r w:rsidRPr="00517534">
        <w:rPr>
          <w:lang w:val="en-GB"/>
        </w:rPr>
        <w:t xml:space="preserve">With regards to </w:t>
      </w:r>
      <w:r w:rsidR="00FF784B" w:rsidRPr="00517534">
        <w:rPr>
          <w:lang w:val="en-GB"/>
        </w:rPr>
        <w:t xml:space="preserve">its </w:t>
      </w:r>
      <w:r w:rsidRPr="00517534">
        <w:rPr>
          <w:lang w:val="en-GB"/>
        </w:rPr>
        <w:t>administrati</w:t>
      </w:r>
      <w:r w:rsidR="00FF784B" w:rsidRPr="00517534">
        <w:rPr>
          <w:lang w:val="en-GB"/>
        </w:rPr>
        <w:t>on</w:t>
      </w:r>
      <w:r w:rsidR="00476A07" w:rsidRPr="00517534">
        <w:rPr>
          <w:lang w:val="en-GB"/>
        </w:rPr>
        <w:t>,</w:t>
      </w:r>
      <w:r w:rsidR="00FF784B" w:rsidRPr="00517534">
        <w:rPr>
          <w:lang w:val="en-GB"/>
        </w:rPr>
        <w:t xml:space="preserve"> the Kosovar </w:t>
      </w:r>
      <w:r w:rsidRPr="00517534">
        <w:rPr>
          <w:lang w:val="en-GB"/>
        </w:rPr>
        <w:t>plan</w:t>
      </w:r>
      <w:r w:rsidR="00FF784B" w:rsidRPr="00517534">
        <w:rPr>
          <w:lang w:val="en-GB"/>
        </w:rPr>
        <w:t xml:space="preserve"> is one of the world’s simplest and cheapest </w:t>
      </w:r>
      <w:r w:rsidR="00476A07" w:rsidRPr="00517534">
        <w:rPr>
          <w:lang w:val="en-GB"/>
        </w:rPr>
        <w:t>zero pillars</w:t>
      </w:r>
      <w:r w:rsidR="00FF784B" w:rsidRPr="00517534">
        <w:rPr>
          <w:lang w:val="en-GB"/>
        </w:rPr>
        <w:t xml:space="preserve">: </w:t>
      </w:r>
      <w:proofErr w:type="spellStart"/>
      <w:r w:rsidR="00FF784B" w:rsidRPr="00517534">
        <w:rPr>
          <w:lang w:val="en-GB"/>
        </w:rPr>
        <w:t>i</w:t>
      </w:r>
      <w:proofErr w:type="spellEnd"/>
      <w:r w:rsidR="00FF784B" w:rsidRPr="00517534">
        <w:rPr>
          <w:lang w:val="en-GB"/>
        </w:rPr>
        <w:t>) it pays a flat benefit to an easily discernible group; ii) the civil register identification is the sole and sufficient proof of identity, age and residence; iii) disbursement of all payments happens in an automated centralized process through a combination of easy-to-read bank coverage maps, joint account options and complementary mobile bank services (</w:t>
      </w:r>
      <w:proofErr w:type="spellStart"/>
      <w:r w:rsidR="00FF784B" w:rsidRPr="00517534">
        <w:rPr>
          <w:lang w:val="en-GB"/>
        </w:rPr>
        <w:t>Sluchynsky</w:t>
      </w:r>
      <w:proofErr w:type="spellEnd"/>
      <w:r w:rsidR="00FF784B" w:rsidRPr="00517534">
        <w:rPr>
          <w:lang w:val="en-GB"/>
        </w:rPr>
        <w:t>, 2009).</w:t>
      </w:r>
    </w:p>
    <w:p w14:paraId="6AB4B38E" w14:textId="0A2C186A" w:rsidR="008C1DE2" w:rsidRPr="00517534" w:rsidRDefault="00AA4AA4" w:rsidP="004B5482">
      <w:pPr>
        <w:pStyle w:val="Heading2"/>
        <w:spacing w:line="240" w:lineRule="auto"/>
      </w:pPr>
      <w:r w:rsidRPr="00517534">
        <w:t>Welfare</w:t>
      </w:r>
      <w:r w:rsidR="008C1DE2" w:rsidRPr="00517534">
        <w:t xml:space="preserve"> fragmentation</w:t>
      </w:r>
    </w:p>
    <w:p w14:paraId="31592BDF" w14:textId="703504AD" w:rsidR="008C1DE2" w:rsidRPr="00517534" w:rsidRDefault="008C1DE2" w:rsidP="00771E9C">
      <w:pPr>
        <w:ind w:firstLine="708"/>
        <w:rPr>
          <w:lang w:val="en-GB"/>
        </w:rPr>
      </w:pPr>
      <w:r w:rsidRPr="00517534">
        <w:rPr>
          <w:lang w:val="en-GB"/>
        </w:rPr>
        <w:t xml:space="preserve">The Kosovar political experience is replete with instances of </w:t>
      </w:r>
      <w:proofErr w:type="spellStart"/>
      <w:r w:rsidRPr="00517534">
        <w:rPr>
          <w:lang w:val="en-GB"/>
        </w:rPr>
        <w:t>clientelistic</w:t>
      </w:r>
      <w:proofErr w:type="spellEnd"/>
      <w:r w:rsidRPr="00517534">
        <w:rPr>
          <w:lang w:val="en-GB"/>
        </w:rPr>
        <w:t xml:space="preserve"> party competition</w:t>
      </w:r>
      <w:r w:rsidR="00022E71" w:rsidRPr="00517534">
        <w:rPr>
          <w:lang w:val="en-GB"/>
        </w:rPr>
        <w:t xml:space="preserve"> in all its declinations</w:t>
      </w:r>
      <w:r w:rsidRPr="00517534">
        <w:rPr>
          <w:lang w:val="en-GB"/>
        </w:rPr>
        <w:t xml:space="preserve"> (benefits, patronage, and corruption). With regards to benefits clientelism, the government of PM </w:t>
      </w:r>
      <w:proofErr w:type="spellStart"/>
      <w:r w:rsidRPr="00517534">
        <w:rPr>
          <w:lang w:val="en-GB"/>
        </w:rPr>
        <w:t>Hashim</w:t>
      </w:r>
      <w:proofErr w:type="spellEnd"/>
      <w:r w:rsidRPr="00517534">
        <w:rPr>
          <w:lang w:val="en-GB"/>
        </w:rPr>
        <w:t xml:space="preserve"> </w:t>
      </w:r>
      <w:proofErr w:type="spellStart"/>
      <w:r w:rsidRPr="00517534">
        <w:rPr>
          <w:lang w:val="en-GB"/>
        </w:rPr>
        <w:t>Thaçi</w:t>
      </w:r>
      <w:proofErr w:type="spellEnd"/>
      <w:r w:rsidRPr="00517534">
        <w:rPr>
          <w:lang w:val="en-GB"/>
        </w:rPr>
        <w:t xml:space="preserve"> (2008-14) of the Democratic Party of Kosovo (PDK) increased public sector wages and all non-contributory pensions by some 25 per cent prior to the 2014 elections, at the expense of public investment projects. The hike in old-age retirement benefits alone cost the budget more than 40 million Euros in 2015, and the annual bill </w:t>
      </w:r>
      <w:r w:rsidR="00022E71" w:rsidRPr="00517534">
        <w:rPr>
          <w:lang w:val="en-GB"/>
        </w:rPr>
        <w:t>was projected</w:t>
      </w:r>
      <w:r w:rsidRPr="00517534">
        <w:rPr>
          <w:lang w:val="en-GB"/>
        </w:rPr>
        <w:t xml:space="preserve"> to increase to 66 million by 2017. </w:t>
      </w:r>
      <w:r w:rsidR="00022E71" w:rsidRPr="00517534">
        <w:rPr>
          <w:lang w:val="en-GB"/>
        </w:rPr>
        <w:t>It was a one-off</w:t>
      </w:r>
      <w:r w:rsidRPr="00517534">
        <w:rPr>
          <w:lang w:val="en-GB"/>
        </w:rPr>
        <w:t xml:space="preserve"> move </w:t>
      </w:r>
      <w:r w:rsidR="00022E71" w:rsidRPr="00517534">
        <w:rPr>
          <w:lang w:val="en-GB"/>
        </w:rPr>
        <w:t xml:space="preserve">due to excessive </w:t>
      </w:r>
      <w:r w:rsidRPr="00517534">
        <w:rPr>
          <w:lang w:val="en-GB"/>
        </w:rPr>
        <w:t>cost</w:t>
      </w:r>
      <w:r w:rsidR="00022E71" w:rsidRPr="00517534">
        <w:rPr>
          <w:lang w:val="en-GB"/>
        </w:rPr>
        <w:t>s</w:t>
      </w:r>
      <w:r w:rsidRPr="00517534">
        <w:rPr>
          <w:lang w:val="en-GB"/>
        </w:rPr>
        <w:t xml:space="preserve"> and</w:t>
      </w:r>
      <w:r w:rsidR="00476A07" w:rsidRPr="00517534">
        <w:rPr>
          <w:lang w:val="en-GB"/>
        </w:rPr>
        <w:t xml:space="preserve"> a</w:t>
      </w:r>
      <w:r w:rsidRPr="00517534">
        <w:rPr>
          <w:lang w:val="en-GB"/>
        </w:rPr>
        <w:t xml:space="preserve"> </w:t>
      </w:r>
      <w:r w:rsidR="00022E71" w:rsidRPr="00517534">
        <w:rPr>
          <w:lang w:val="en-GB"/>
        </w:rPr>
        <w:t>highly heterogeneous</w:t>
      </w:r>
      <w:r w:rsidRPr="00517534">
        <w:rPr>
          <w:lang w:val="en-GB"/>
        </w:rPr>
        <w:t xml:space="preserve"> targeted population.</w:t>
      </w:r>
    </w:p>
    <w:p w14:paraId="44F4E952" w14:textId="09225417" w:rsidR="008C1DE2" w:rsidRPr="00517534" w:rsidRDefault="008C1DE2" w:rsidP="00771E9C">
      <w:pPr>
        <w:ind w:firstLine="708"/>
        <w:rPr>
          <w:lang w:val="en-GB"/>
        </w:rPr>
      </w:pPr>
      <w:proofErr w:type="spellStart"/>
      <w:r w:rsidRPr="00517534">
        <w:rPr>
          <w:lang w:val="en-GB"/>
        </w:rPr>
        <w:t>Thaçi</w:t>
      </w:r>
      <w:proofErr w:type="spellEnd"/>
      <w:r w:rsidRPr="00517534">
        <w:rPr>
          <w:lang w:val="en-GB"/>
        </w:rPr>
        <w:t xml:space="preserve">, now Kosovo’s President, </w:t>
      </w:r>
      <w:r w:rsidR="00022E71" w:rsidRPr="00517534">
        <w:rPr>
          <w:lang w:val="en-GB"/>
        </w:rPr>
        <w:t xml:space="preserve">was </w:t>
      </w:r>
      <w:r w:rsidRPr="00517534">
        <w:rPr>
          <w:lang w:val="en-GB"/>
        </w:rPr>
        <w:t>a member of the inner circle of the Kosovo Liberation Army (KLA)</w:t>
      </w:r>
      <w:r w:rsidR="00022E71" w:rsidRPr="00517534">
        <w:rPr>
          <w:lang w:val="en-GB"/>
        </w:rPr>
        <w:t>. As</w:t>
      </w:r>
      <w:r w:rsidRPr="00517534">
        <w:rPr>
          <w:lang w:val="en-GB"/>
        </w:rPr>
        <w:t xml:space="preserve"> the PDK constituted from its political wing, the subsidization of veterans was </w:t>
      </w:r>
      <w:r w:rsidR="00022E71" w:rsidRPr="00517534">
        <w:rPr>
          <w:lang w:val="en-GB"/>
        </w:rPr>
        <w:t>a priority</w:t>
      </w:r>
      <w:r w:rsidR="00476A07" w:rsidRPr="00517534">
        <w:rPr>
          <w:lang w:val="en-GB"/>
        </w:rPr>
        <w:t>. It was fulfilled</w:t>
      </w:r>
      <w:r w:rsidR="00022E71" w:rsidRPr="00517534">
        <w:rPr>
          <w:lang w:val="en-GB"/>
        </w:rPr>
        <w:t xml:space="preserve"> through </w:t>
      </w:r>
      <w:r w:rsidRPr="00517534">
        <w:rPr>
          <w:lang w:val="en-GB"/>
        </w:rPr>
        <w:t>Law no. 03/L-100 on the pensions for Kosovo Protection Corps members</w:t>
      </w:r>
      <w:r w:rsidR="00022E71" w:rsidRPr="00517534">
        <w:rPr>
          <w:lang w:val="en-GB"/>
        </w:rPr>
        <w:t>, passed</w:t>
      </w:r>
      <w:r w:rsidRPr="00517534">
        <w:rPr>
          <w:lang w:val="en-GB"/>
        </w:rPr>
        <w:t xml:space="preserve"> in 2008, Law no. 04-L-84 on pensions for members of the Kosovo Security Force in 2012 (the KPC, later KSF, were the civilian successors to the KLA) and Law no. 04-L-261 on Kosovo Liberation Army veterans in 2014.</w:t>
      </w:r>
    </w:p>
    <w:p w14:paraId="02A7CA6E" w14:textId="1A7F2EF7" w:rsidR="008C1DE2" w:rsidRPr="00517534" w:rsidRDefault="008C1DE2" w:rsidP="00771E9C">
      <w:pPr>
        <w:ind w:firstLine="708"/>
        <w:rPr>
          <w:lang w:val="en-GB"/>
        </w:rPr>
      </w:pPr>
      <w:r w:rsidRPr="00517534">
        <w:rPr>
          <w:lang w:val="en-GB"/>
        </w:rPr>
        <w:t xml:space="preserve">The KPC and KSF are non-contributory, earnings-related final salary schemes, whose eligibility is relaxed and benefits generous (members can retire as early as 45/50 in KPC/KSF, and benefits are not lower than 50/60 per cent of the final salary). </w:t>
      </w:r>
      <w:r w:rsidR="00AA4AA4" w:rsidRPr="00517534">
        <w:rPr>
          <w:lang w:val="en-GB"/>
        </w:rPr>
        <w:t>T</w:t>
      </w:r>
      <w:r w:rsidRPr="00517534">
        <w:rPr>
          <w:lang w:val="en-GB"/>
        </w:rPr>
        <w:t xml:space="preserve">he war veterans’ pension (plus additional benefits paid to KLA war invalids, martyrs’ families and the families of civilian victims of the war) was set to become the most expensive special benefit program in Kosovo, due to its generosity, ease of access and extension, thereby </w:t>
      </w:r>
      <w:r w:rsidRPr="00517534">
        <w:rPr>
          <w:lang w:val="en-GB"/>
        </w:rPr>
        <w:lastRenderedPageBreak/>
        <w:t>exacerbating the safety net’s inequities (</w:t>
      </w:r>
      <w:proofErr w:type="spellStart"/>
      <w:r w:rsidRPr="00517534">
        <w:rPr>
          <w:lang w:val="en-GB"/>
        </w:rPr>
        <w:t>Feher</w:t>
      </w:r>
      <w:proofErr w:type="spellEnd"/>
      <w:r w:rsidR="005A3D02" w:rsidRPr="00517534">
        <w:rPr>
          <w:lang w:val="en-GB"/>
        </w:rPr>
        <w:t xml:space="preserve"> et al.</w:t>
      </w:r>
      <w:r w:rsidRPr="00517534">
        <w:rPr>
          <w:lang w:val="en-GB"/>
        </w:rPr>
        <w:t xml:space="preserve">, 2014: 18-23). </w:t>
      </w:r>
      <w:r w:rsidR="00AA4AA4" w:rsidRPr="00517534">
        <w:rPr>
          <w:lang w:val="en-GB"/>
        </w:rPr>
        <w:t xml:space="preserve">No wonder that the </w:t>
      </w:r>
      <w:r w:rsidR="002E15DA" w:rsidRPr="00517534">
        <w:rPr>
          <w:lang w:val="en-GB"/>
        </w:rPr>
        <w:t>IMF (2015) has been extremely critical of their ill-conceived design and unsound targeting.</w:t>
      </w:r>
    </w:p>
    <w:p w14:paraId="7A0D970E" w14:textId="03B46784" w:rsidR="008C1DE2" w:rsidRPr="00517534" w:rsidRDefault="008C1DE2" w:rsidP="00771E9C">
      <w:pPr>
        <w:ind w:firstLine="708"/>
        <w:rPr>
          <w:lang w:val="en-GB"/>
        </w:rPr>
      </w:pPr>
      <w:r w:rsidRPr="00517534">
        <w:rPr>
          <w:lang w:val="en-GB"/>
        </w:rPr>
        <w:t xml:space="preserve">Although the government led by PM Isa Mustafa of the Democratic League of Kosovo (LDK), in coalition with PDK, vowed to cap veteran benefits at 50 million Euros in the 2017 budget, these soared to almost double that. The main reason, again in line with theoretical expectations, is that over 46 thousand people </w:t>
      </w:r>
      <w:r w:rsidR="00AA4AA4" w:rsidRPr="00517534">
        <w:rPr>
          <w:lang w:val="en-GB"/>
        </w:rPr>
        <w:t>we</w:t>
      </w:r>
      <w:r w:rsidRPr="00517534">
        <w:rPr>
          <w:lang w:val="en-GB"/>
        </w:rPr>
        <w:t>re eligible, which more than double</w:t>
      </w:r>
      <w:r w:rsidR="00AA4AA4" w:rsidRPr="00517534">
        <w:rPr>
          <w:lang w:val="en-GB"/>
        </w:rPr>
        <w:t>d</w:t>
      </w:r>
      <w:r w:rsidRPr="00517534">
        <w:rPr>
          <w:lang w:val="en-GB"/>
        </w:rPr>
        <w:t xml:space="preserve"> IMF’s initial estimate of 18 thousand. The number swelled partly because the paramilitary organization Armed Forces of the Republic of Kosovo (FARK) was LDK’s military wing, which </w:t>
      </w:r>
      <w:r w:rsidR="00AA4AA4" w:rsidRPr="00517534">
        <w:rPr>
          <w:lang w:val="en-GB"/>
        </w:rPr>
        <w:t xml:space="preserve">elicited even more benefit clientelism, </w:t>
      </w:r>
      <w:r w:rsidRPr="00517534">
        <w:rPr>
          <w:lang w:val="en-GB"/>
        </w:rPr>
        <w:t xml:space="preserve">in fierce competition with the KLA. </w:t>
      </w:r>
      <w:r w:rsidR="00AA4AA4" w:rsidRPr="00517534">
        <w:rPr>
          <w:lang w:val="en-GB"/>
        </w:rPr>
        <w:t>S</w:t>
      </w:r>
      <w:r w:rsidRPr="00517534">
        <w:rPr>
          <w:lang w:val="en-GB"/>
        </w:rPr>
        <w:t>enior members of the War Veterans Association</w:t>
      </w:r>
      <w:r w:rsidR="00AA4AA4" w:rsidRPr="00517534">
        <w:rPr>
          <w:lang w:val="en-GB"/>
        </w:rPr>
        <w:t xml:space="preserve"> often</w:t>
      </w:r>
      <w:r w:rsidRPr="00517534">
        <w:rPr>
          <w:lang w:val="en-GB"/>
        </w:rPr>
        <w:t xml:space="preserve"> complained that the list includes people who never saw the front lines, thereby enabling associates of both ruling and opposition parties to claim welfare (</w:t>
      </w:r>
      <w:proofErr w:type="spellStart"/>
      <w:r w:rsidRPr="00517534">
        <w:rPr>
          <w:lang w:val="en-GB"/>
        </w:rPr>
        <w:t>Quirezi</w:t>
      </w:r>
      <w:proofErr w:type="spellEnd"/>
      <w:r w:rsidRPr="00517534">
        <w:rPr>
          <w:lang w:val="en-GB"/>
        </w:rPr>
        <w:t>, 2016).</w:t>
      </w:r>
    </w:p>
    <w:p w14:paraId="7668DDA9" w14:textId="1E0C1B98" w:rsidR="008C1DE2" w:rsidRPr="00517534" w:rsidRDefault="00AA4AA4" w:rsidP="004B5482">
      <w:pPr>
        <w:pStyle w:val="Heading1"/>
      </w:pPr>
      <w:r w:rsidRPr="00517534">
        <w:t>The path of least resistance</w:t>
      </w:r>
    </w:p>
    <w:p w14:paraId="300C8A9E" w14:textId="24CDE33A" w:rsidR="008C1DE2" w:rsidRPr="00517534" w:rsidRDefault="008C1DE2" w:rsidP="00771E9C">
      <w:pPr>
        <w:ind w:firstLine="708"/>
        <w:rPr>
          <w:lang w:val="en-GB"/>
        </w:rPr>
      </w:pPr>
      <w:r w:rsidRPr="00517534">
        <w:rPr>
          <w:lang w:val="en-GB"/>
        </w:rPr>
        <w:t xml:space="preserve">Kosovar </w:t>
      </w:r>
      <w:r w:rsidR="00AA4AA4" w:rsidRPr="00517534">
        <w:rPr>
          <w:lang w:val="en-GB"/>
        </w:rPr>
        <w:t xml:space="preserve">special </w:t>
      </w:r>
      <w:r w:rsidRPr="00517534">
        <w:rPr>
          <w:lang w:val="en-GB"/>
        </w:rPr>
        <w:t xml:space="preserve">pension </w:t>
      </w:r>
      <w:r w:rsidR="00AA4AA4" w:rsidRPr="00517534">
        <w:rPr>
          <w:lang w:val="en-GB"/>
        </w:rPr>
        <w:t xml:space="preserve">schemes </w:t>
      </w:r>
      <w:r w:rsidR="001D71CE" w:rsidRPr="00517534">
        <w:rPr>
          <w:lang w:val="en-GB"/>
        </w:rPr>
        <w:t>require additional resources, which could be carved out</w:t>
      </w:r>
      <w:r w:rsidRPr="00517534">
        <w:rPr>
          <w:lang w:val="en-GB"/>
        </w:rPr>
        <w:t xml:space="preserve"> from schemes ill-suited </w:t>
      </w:r>
      <w:r w:rsidR="00AA4AA4" w:rsidRPr="00517534">
        <w:rPr>
          <w:lang w:val="en-GB"/>
        </w:rPr>
        <w:t>for</w:t>
      </w:r>
      <w:r w:rsidRPr="00517534">
        <w:rPr>
          <w:lang w:val="en-GB"/>
        </w:rPr>
        <w:t xml:space="preserve"> benefits clientelism, such as basic pension</w:t>
      </w:r>
      <w:r w:rsidR="001D71CE" w:rsidRPr="00517534">
        <w:rPr>
          <w:lang w:val="en-GB"/>
        </w:rPr>
        <w:t>s</w:t>
      </w:r>
      <w:r w:rsidRPr="00517534">
        <w:rPr>
          <w:lang w:val="en-GB"/>
        </w:rPr>
        <w:t xml:space="preserve">. </w:t>
      </w:r>
    </w:p>
    <w:p w14:paraId="6C2E8A5D" w14:textId="1F59E0E3" w:rsidR="008C1DE2" w:rsidRPr="00517534" w:rsidRDefault="008C1DE2" w:rsidP="00771E9C">
      <w:pPr>
        <w:ind w:firstLine="708"/>
        <w:rPr>
          <w:lang w:val="en-GB"/>
        </w:rPr>
      </w:pPr>
      <w:r w:rsidRPr="00517534">
        <w:rPr>
          <w:lang w:val="en-GB"/>
        </w:rPr>
        <w:t>As cutting welfare is politically costly</w:t>
      </w:r>
      <w:r w:rsidR="00AA4AA4" w:rsidRPr="00517534">
        <w:rPr>
          <w:lang w:val="en-GB"/>
        </w:rPr>
        <w:t xml:space="preserve"> (</w:t>
      </w:r>
      <w:r w:rsidR="004E79FF" w:rsidRPr="00517534">
        <w:rPr>
          <w:lang w:val="en-GB"/>
        </w:rPr>
        <w:t>see</w:t>
      </w:r>
      <w:r w:rsidR="00AA4AA4" w:rsidRPr="00517534">
        <w:rPr>
          <w:lang w:val="en-GB"/>
        </w:rPr>
        <w:t xml:space="preserve"> the</w:t>
      </w:r>
      <w:r w:rsidR="004E79FF" w:rsidRPr="00517534">
        <w:rPr>
          <w:lang w:val="en-GB"/>
        </w:rPr>
        <w:t xml:space="preserve"> disastrous attempts to reform pensions by the</w:t>
      </w:r>
      <w:r w:rsidR="00AA4AA4" w:rsidRPr="00517534">
        <w:rPr>
          <w:lang w:val="en-GB"/>
        </w:rPr>
        <w:t xml:space="preserve"> Berlusconi or </w:t>
      </w:r>
      <w:proofErr w:type="spellStart"/>
      <w:r w:rsidR="00AA4AA4" w:rsidRPr="00517534">
        <w:rPr>
          <w:lang w:val="en-GB"/>
        </w:rPr>
        <w:t>Juppé</w:t>
      </w:r>
      <w:proofErr w:type="spellEnd"/>
      <w:r w:rsidR="00AA4AA4" w:rsidRPr="00517534">
        <w:rPr>
          <w:lang w:val="en-GB"/>
        </w:rPr>
        <w:t xml:space="preserve"> governments in the mid-1990s)</w:t>
      </w:r>
      <w:r w:rsidRPr="00517534">
        <w:rPr>
          <w:lang w:val="en-GB"/>
        </w:rPr>
        <w:t xml:space="preserve">, a rich literature sprung up explaining that reforms nonetheless succeed when politicians successfully deploy blame-avoidance strategies. These include obfuscation (through the low visibility of cutbacks), division (creating a wedge between otherwise homogeneous groups), compensation (ranging from direct financial pay-outs to exclusion from reforms) and justification tactics (convincing the public of the reforms’ necessity) (Weaver, 1986; Pierson, 1994; Green-Pedersen, 2003). </w:t>
      </w:r>
    </w:p>
    <w:p w14:paraId="507F101D" w14:textId="0F9AE804" w:rsidR="008C1DE2" w:rsidRPr="00517534" w:rsidRDefault="008C1DE2" w:rsidP="00771E9C">
      <w:pPr>
        <w:ind w:firstLine="708"/>
        <w:rPr>
          <w:lang w:val="en-GB"/>
        </w:rPr>
      </w:pPr>
      <w:r w:rsidRPr="00517534">
        <w:rPr>
          <w:lang w:val="en-GB"/>
        </w:rPr>
        <w:t>When losers are veto players</w:t>
      </w:r>
      <w:r w:rsidR="001D71CE" w:rsidRPr="00517534">
        <w:rPr>
          <w:lang w:val="en-GB"/>
        </w:rPr>
        <w:t>,</w:t>
      </w:r>
      <w:r w:rsidR="002E15DA" w:rsidRPr="00517534">
        <w:rPr>
          <w:lang w:val="en-GB"/>
        </w:rPr>
        <w:t xml:space="preserve"> however,</w:t>
      </w:r>
      <w:r w:rsidR="001D71CE" w:rsidRPr="00517534">
        <w:rPr>
          <w:lang w:val="en-GB"/>
        </w:rPr>
        <w:t xml:space="preserve"> a government</w:t>
      </w:r>
      <w:r w:rsidRPr="00517534">
        <w:rPr>
          <w:lang w:val="en-GB"/>
        </w:rPr>
        <w:t xml:space="preserve"> may </w:t>
      </w:r>
      <w:r w:rsidR="00B64285">
        <w:rPr>
          <w:lang w:val="en-GB"/>
        </w:rPr>
        <w:t>look</w:t>
      </w:r>
      <w:r w:rsidRPr="00517534">
        <w:rPr>
          <w:lang w:val="en-GB"/>
        </w:rPr>
        <w:t xml:space="preserve"> </w:t>
      </w:r>
      <w:r w:rsidR="002E15DA" w:rsidRPr="00517534">
        <w:rPr>
          <w:lang w:val="en-GB"/>
        </w:rPr>
        <w:t xml:space="preserve">for other </w:t>
      </w:r>
      <w:r w:rsidR="001D71CE" w:rsidRPr="00517534">
        <w:rPr>
          <w:lang w:val="en-GB"/>
        </w:rPr>
        <w:t>viable</w:t>
      </w:r>
      <w:r w:rsidR="002E15DA" w:rsidRPr="00517534">
        <w:rPr>
          <w:lang w:val="en-GB"/>
        </w:rPr>
        <w:t xml:space="preserve"> options</w:t>
      </w:r>
      <w:r w:rsidR="001D71CE" w:rsidRPr="00517534">
        <w:rPr>
          <w:lang w:val="en-GB"/>
        </w:rPr>
        <w:t>. By choosing the safer</w:t>
      </w:r>
      <w:r w:rsidRPr="00517534">
        <w:rPr>
          <w:lang w:val="en-GB"/>
        </w:rPr>
        <w:t xml:space="preserve"> </w:t>
      </w:r>
      <w:r w:rsidR="001D71CE" w:rsidRPr="00517534">
        <w:rPr>
          <w:i/>
          <w:lang w:val="en-GB"/>
        </w:rPr>
        <w:t>path of least resistance</w:t>
      </w:r>
      <w:r w:rsidR="001D71CE" w:rsidRPr="00517534">
        <w:rPr>
          <w:lang w:val="en-GB"/>
        </w:rPr>
        <w:t>,</w:t>
      </w:r>
      <w:r w:rsidRPr="00517534">
        <w:rPr>
          <w:lang w:val="en-GB"/>
        </w:rPr>
        <w:t xml:space="preserve"> </w:t>
      </w:r>
      <w:r w:rsidR="00B64285">
        <w:rPr>
          <w:lang w:val="en-GB"/>
        </w:rPr>
        <w:t>costs are</w:t>
      </w:r>
      <w:r w:rsidRPr="00517534">
        <w:rPr>
          <w:lang w:val="en-GB"/>
        </w:rPr>
        <w:t xml:space="preserve"> </w:t>
      </w:r>
      <w:r w:rsidR="00B64285">
        <w:rPr>
          <w:lang w:val="en-GB"/>
        </w:rPr>
        <w:t>imposed</w:t>
      </w:r>
      <w:r w:rsidR="001D71CE" w:rsidRPr="00517534">
        <w:rPr>
          <w:lang w:val="en-GB"/>
        </w:rPr>
        <w:t xml:space="preserve"> on marginal </w:t>
      </w:r>
      <w:r w:rsidR="00903831" w:rsidRPr="00517534">
        <w:rPr>
          <w:lang w:val="en-GB"/>
        </w:rPr>
        <w:t xml:space="preserve">interest </w:t>
      </w:r>
      <w:r w:rsidR="001D71CE" w:rsidRPr="00517534">
        <w:rPr>
          <w:lang w:val="en-GB"/>
        </w:rPr>
        <w:t>groups</w:t>
      </w:r>
      <w:r w:rsidR="006C677C" w:rsidRPr="00517534">
        <w:rPr>
          <w:lang w:val="en-GB"/>
        </w:rPr>
        <w:t xml:space="preserve"> (examples are </w:t>
      </w:r>
      <w:r w:rsidR="001D71CE" w:rsidRPr="00517534">
        <w:rPr>
          <w:lang w:val="en-GB"/>
        </w:rPr>
        <w:t xml:space="preserve">widows, younger pensioners, temporary workers </w:t>
      </w:r>
      <w:r w:rsidR="006C677C" w:rsidRPr="00517534">
        <w:rPr>
          <w:lang w:val="en-GB"/>
        </w:rPr>
        <w:t>and so on).</w:t>
      </w:r>
      <w:r w:rsidRPr="00517534">
        <w:rPr>
          <w:lang w:val="en-GB"/>
        </w:rPr>
        <w:t xml:space="preserve"> These groups are less likely to mobilize effectively</w:t>
      </w:r>
      <w:r w:rsidR="006A3864" w:rsidRPr="00517534">
        <w:rPr>
          <w:lang w:val="en-GB"/>
        </w:rPr>
        <w:t xml:space="preserve">, especially when complementary reforms are pursued through </w:t>
      </w:r>
      <w:r w:rsidRPr="00517534">
        <w:rPr>
          <w:lang w:val="en-GB"/>
        </w:rPr>
        <w:t>long phasing</w:t>
      </w:r>
      <w:r w:rsidR="006A3864" w:rsidRPr="00517534">
        <w:rPr>
          <w:lang w:val="en-GB"/>
        </w:rPr>
        <w:t>-in</w:t>
      </w:r>
      <w:r w:rsidRPr="00517534">
        <w:rPr>
          <w:lang w:val="en-GB"/>
        </w:rPr>
        <w:t xml:space="preserve"> periods a</w:t>
      </w:r>
      <w:r w:rsidR="006A3864" w:rsidRPr="00517534">
        <w:rPr>
          <w:lang w:val="en-GB"/>
        </w:rPr>
        <w:t>nd liberalization at the margin</w:t>
      </w:r>
      <w:r w:rsidRPr="00517534">
        <w:rPr>
          <w:lang w:val="en-GB"/>
        </w:rPr>
        <w:t xml:space="preserve">. </w:t>
      </w:r>
    </w:p>
    <w:p w14:paraId="359A0BF7" w14:textId="4674C754" w:rsidR="008C1DE2" w:rsidRPr="00517534" w:rsidRDefault="008C1DE2" w:rsidP="00771E9C">
      <w:pPr>
        <w:ind w:firstLine="708"/>
        <w:rPr>
          <w:lang w:val="en-GB"/>
        </w:rPr>
      </w:pPr>
      <w:r w:rsidRPr="00517534">
        <w:rPr>
          <w:lang w:val="en-GB"/>
        </w:rPr>
        <w:t>Given the basic age pension’s universalistic objectives and particular demographic charact</w:t>
      </w:r>
      <w:r w:rsidR="005A3D02" w:rsidRPr="00517534">
        <w:rPr>
          <w:lang w:val="en-GB"/>
        </w:rPr>
        <w:t xml:space="preserve">eristics, the scheme offered a </w:t>
      </w:r>
      <w:r w:rsidRPr="00517534">
        <w:rPr>
          <w:i/>
          <w:lang w:val="en-GB"/>
        </w:rPr>
        <w:t>path of least resistance</w:t>
      </w:r>
      <w:r w:rsidRPr="00517534">
        <w:rPr>
          <w:lang w:val="en-GB"/>
        </w:rPr>
        <w:t xml:space="preserve"> to retrenchment. Indeed, during the spring of 2016, the Kosovar Ministry of Labour and Social Welfare started </w:t>
      </w:r>
      <w:r w:rsidR="006A3864" w:rsidRPr="00517534">
        <w:rPr>
          <w:lang w:val="en-GB"/>
        </w:rPr>
        <w:t>a</w:t>
      </w:r>
      <w:r w:rsidRPr="00517534">
        <w:rPr>
          <w:lang w:val="en-GB"/>
        </w:rPr>
        <w:t xml:space="preserve"> process </w:t>
      </w:r>
      <w:r w:rsidR="006A3864" w:rsidRPr="00517534">
        <w:rPr>
          <w:lang w:val="en-GB"/>
        </w:rPr>
        <w:t>that would have turned the universal into an income-targeted scheme</w:t>
      </w:r>
      <w:r w:rsidRPr="00517534">
        <w:rPr>
          <w:lang w:val="en-GB"/>
        </w:rPr>
        <w:t xml:space="preserve">. </w:t>
      </w:r>
    </w:p>
    <w:p w14:paraId="71C9DDFE" w14:textId="4361A0B9" w:rsidR="008C1DE2" w:rsidRPr="00517534" w:rsidRDefault="002A5031" w:rsidP="00771E9C">
      <w:pPr>
        <w:ind w:firstLine="708"/>
        <w:rPr>
          <w:lang w:val="en-GB"/>
        </w:rPr>
      </w:pPr>
      <w:r w:rsidRPr="00517534">
        <w:rPr>
          <w:lang w:val="en-GB"/>
        </w:rPr>
        <w:t>I</w:t>
      </w:r>
      <w:r w:rsidR="006A3864" w:rsidRPr="00517534">
        <w:rPr>
          <w:lang w:val="en-GB"/>
        </w:rPr>
        <w:t>t was</w:t>
      </w:r>
      <w:r w:rsidR="008C1DE2" w:rsidRPr="00517534">
        <w:rPr>
          <w:lang w:val="en-GB"/>
        </w:rPr>
        <w:t xml:space="preserve"> an ill-conceived reform</w:t>
      </w:r>
      <w:r w:rsidRPr="00517534">
        <w:rPr>
          <w:lang w:val="en-GB"/>
        </w:rPr>
        <w:t xml:space="preserve">, whose few gains </w:t>
      </w:r>
      <w:r w:rsidR="002E15DA" w:rsidRPr="00517534">
        <w:rPr>
          <w:lang w:val="en-GB"/>
        </w:rPr>
        <w:t>would</w:t>
      </w:r>
      <w:r w:rsidRPr="00517534">
        <w:rPr>
          <w:lang w:val="en-GB"/>
        </w:rPr>
        <w:t xml:space="preserve"> be offset by the appearance of horizontal leakages and increased administrative costs. T</w:t>
      </w:r>
      <w:r w:rsidR="008C1DE2" w:rsidRPr="00517534">
        <w:rPr>
          <w:lang w:val="en-GB"/>
        </w:rPr>
        <w:t>he policymaking process was</w:t>
      </w:r>
      <w:r w:rsidR="002E15DA" w:rsidRPr="00517534">
        <w:rPr>
          <w:lang w:val="en-GB"/>
        </w:rPr>
        <w:t xml:space="preserve"> equally</w:t>
      </w:r>
      <w:r w:rsidR="008C1DE2" w:rsidRPr="00517534">
        <w:rPr>
          <w:lang w:val="en-GB"/>
        </w:rPr>
        <w:t xml:space="preserve"> flawed</w:t>
      </w:r>
      <w:r w:rsidRPr="00517534">
        <w:rPr>
          <w:lang w:val="en-GB"/>
        </w:rPr>
        <w:t>.</w:t>
      </w:r>
      <w:r w:rsidR="008C1DE2" w:rsidRPr="00517534">
        <w:rPr>
          <w:lang w:val="en-GB"/>
        </w:rPr>
        <w:t xml:space="preserve"> Consultation with civil society and the social partners </w:t>
      </w:r>
      <w:r w:rsidRPr="00517534">
        <w:rPr>
          <w:lang w:val="en-GB"/>
        </w:rPr>
        <w:t>barely took</w:t>
      </w:r>
      <w:r w:rsidR="008C1DE2" w:rsidRPr="00517534">
        <w:rPr>
          <w:lang w:val="en-GB"/>
        </w:rPr>
        <w:t xml:space="preserve"> place</w:t>
      </w:r>
      <w:r w:rsidR="002E15DA" w:rsidRPr="00517534">
        <w:rPr>
          <w:lang w:val="en-GB"/>
        </w:rPr>
        <w:t>,</w:t>
      </w:r>
      <w:r w:rsidR="008C1DE2" w:rsidRPr="00517534">
        <w:rPr>
          <w:lang w:val="en-GB"/>
        </w:rPr>
        <w:t xml:space="preserve"> and the</w:t>
      </w:r>
      <w:r w:rsidR="002E15DA" w:rsidRPr="00517534">
        <w:rPr>
          <w:lang w:val="en-GB"/>
        </w:rPr>
        <w:t xml:space="preserve"> reform’s</w:t>
      </w:r>
      <w:r w:rsidR="008C1DE2" w:rsidRPr="00517534">
        <w:rPr>
          <w:lang w:val="en-GB"/>
        </w:rPr>
        <w:t xml:space="preserve"> </w:t>
      </w:r>
      <w:r w:rsidRPr="00517534">
        <w:rPr>
          <w:lang w:val="en-GB"/>
        </w:rPr>
        <w:t>aim was just</w:t>
      </w:r>
      <w:r w:rsidR="008C1DE2" w:rsidRPr="00517534">
        <w:rPr>
          <w:lang w:val="en-GB"/>
        </w:rPr>
        <w:t xml:space="preserve"> </w:t>
      </w:r>
      <w:r w:rsidRPr="00517534">
        <w:rPr>
          <w:lang w:val="en-GB"/>
        </w:rPr>
        <w:t xml:space="preserve">to </w:t>
      </w:r>
      <w:r w:rsidR="008C1DE2" w:rsidRPr="00517534">
        <w:rPr>
          <w:lang w:val="en-GB"/>
        </w:rPr>
        <w:t>redirect the liberated funds towards politically more profitable schemes (</w:t>
      </w:r>
      <w:r w:rsidR="006A06D5" w:rsidRPr="00517534">
        <w:rPr>
          <w:lang w:val="en-GB"/>
        </w:rPr>
        <w:t>KSI</w:t>
      </w:r>
      <w:r w:rsidR="008C1DE2" w:rsidRPr="00517534">
        <w:rPr>
          <w:lang w:val="en-GB"/>
        </w:rPr>
        <w:t xml:space="preserve">, 2016). </w:t>
      </w:r>
    </w:p>
    <w:p w14:paraId="68563C40" w14:textId="69910454" w:rsidR="008C1DE2" w:rsidRPr="00517534" w:rsidRDefault="009B2B98" w:rsidP="004B5482">
      <w:pPr>
        <w:pStyle w:val="Heading2"/>
        <w:spacing w:line="240" w:lineRule="auto"/>
      </w:pPr>
      <w:r w:rsidRPr="00517534">
        <w:t xml:space="preserve">The reform </w:t>
      </w:r>
      <w:proofErr w:type="gramStart"/>
      <w:r w:rsidRPr="00517534">
        <w:t>plan</w:t>
      </w:r>
      <w:proofErr w:type="gramEnd"/>
    </w:p>
    <w:p w14:paraId="4F526181" w14:textId="77777777" w:rsidR="008C1DE2" w:rsidRPr="00517534" w:rsidRDefault="008C1DE2" w:rsidP="00771E9C">
      <w:pPr>
        <w:ind w:firstLine="708"/>
        <w:rPr>
          <w:lang w:val="en-GB"/>
        </w:rPr>
      </w:pPr>
      <w:r w:rsidRPr="00517534">
        <w:rPr>
          <w:lang w:val="en-GB"/>
        </w:rPr>
        <w:t>A 2016 Concept Paper of the Labour Ministry envisaged three scenarios regarding the future of tax-financed pensions in Kosovo (Government</w:t>
      </w:r>
      <w:r w:rsidR="006A06D5" w:rsidRPr="00517534">
        <w:rPr>
          <w:lang w:val="en-GB"/>
        </w:rPr>
        <w:t xml:space="preserve"> RK</w:t>
      </w:r>
      <w:r w:rsidRPr="00517534">
        <w:rPr>
          <w:lang w:val="en-GB"/>
        </w:rPr>
        <w:t xml:space="preserve">, 2016). </w:t>
      </w:r>
    </w:p>
    <w:p w14:paraId="26736E2D" w14:textId="442844F3" w:rsidR="008C1DE2" w:rsidRPr="00517534" w:rsidRDefault="008C1DE2" w:rsidP="00771E9C">
      <w:pPr>
        <w:ind w:firstLine="708"/>
        <w:rPr>
          <w:lang w:val="en-GB"/>
        </w:rPr>
      </w:pPr>
      <w:r w:rsidRPr="00517534">
        <w:rPr>
          <w:lang w:val="en-GB"/>
        </w:rPr>
        <w:t xml:space="preserve">The no-reform scenario was deemed to be unfair. </w:t>
      </w:r>
      <w:r w:rsidR="002E15DA" w:rsidRPr="00517534">
        <w:rPr>
          <w:lang w:val="en-GB"/>
        </w:rPr>
        <w:t>The Ministry decried that t</w:t>
      </w:r>
      <w:r w:rsidRPr="00517534">
        <w:rPr>
          <w:lang w:val="en-GB"/>
        </w:rPr>
        <w:t>he basic age pension continue</w:t>
      </w:r>
      <w:r w:rsidR="002E15DA" w:rsidRPr="00517534">
        <w:rPr>
          <w:lang w:val="en-GB"/>
        </w:rPr>
        <w:t>d</w:t>
      </w:r>
      <w:r w:rsidRPr="00517534">
        <w:rPr>
          <w:lang w:val="en-GB"/>
        </w:rPr>
        <w:t xml:space="preserve"> to be paid out to Kosovar citizens permanently living abroad (10-15 thousand people)</w:t>
      </w:r>
      <w:r w:rsidR="002E15DA" w:rsidRPr="00517534">
        <w:rPr>
          <w:lang w:val="en-GB"/>
        </w:rPr>
        <w:t>,</w:t>
      </w:r>
      <w:r w:rsidRPr="00517534">
        <w:rPr>
          <w:lang w:val="en-GB"/>
        </w:rPr>
        <w:t xml:space="preserve"> due to excessively lax residence requirements</w:t>
      </w:r>
      <w:r w:rsidR="002E15DA" w:rsidRPr="00517534">
        <w:rPr>
          <w:lang w:val="en-GB"/>
        </w:rPr>
        <w:t>,</w:t>
      </w:r>
      <w:r w:rsidRPr="00517534">
        <w:rPr>
          <w:lang w:val="en-GB"/>
        </w:rPr>
        <w:t xml:space="preserve"> and to pensioners having additional sources of income, as there is no means test. </w:t>
      </w:r>
    </w:p>
    <w:p w14:paraId="355685CC" w14:textId="14DEE029" w:rsidR="008C1DE2" w:rsidRPr="00517534" w:rsidRDefault="008C1DE2" w:rsidP="00771E9C">
      <w:pPr>
        <w:ind w:firstLine="708"/>
        <w:rPr>
          <w:lang w:val="en-GB"/>
        </w:rPr>
      </w:pPr>
      <w:r w:rsidRPr="00517534">
        <w:rPr>
          <w:lang w:val="en-GB"/>
        </w:rPr>
        <w:t xml:space="preserve">An alternative scenario was to draft a new law regulating all pension and disability schemes financed by the state with a single bill. This would: </w:t>
      </w:r>
      <w:proofErr w:type="spellStart"/>
      <w:r w:rsidRPr="00517534">
        <w:rPr>
          <w:lang w:val="en-GB"/>
        </w:rPr>
        <w:t>i</w:t>
      </w:r>
      <w:proofErr w:type="spellEnd"/>
      <w:r w:rsidRPr="00517534">
        <w:rPr>
          <w:lang w:val="en-GB"/>
        </w:rPr>
        <w:t xml:space="preserve">) introduce nuanced disability scales on which to calculate invalidity benefits; ii) create a separate administration for all non-contributory Kosovar schemes (including the special ones for veterans, for the blind etc.). The new administration would have a one-stop-shop in each Kosovar municipality. Although a new law was the preferred solution, the shortages in trained staff, time </w:t>
      </w:r>
      <w:r w:rsidRPr="00517534">
        <w:rPr>
          <w:lang w:val="en-GB"/>
        </w:rPr>
        <w:lastRenderedPageBreak/>
        <w:t xml:space="preserve">constraints, a dire labour market situation and the many </w:t>
      </w:r>
      <w:r w:rsidR="00503EF9" w:rsidRPr="00517534">
        <w:rPr>
          <w:lang w:val="en-GB"/>
        </w:rPr>
        <w:t xml:space="preserve">currently </w:t>
      </w:r>
      <w:r w:rsidRPr="00517534">
        <w:rPr>
          <w:lang w:val="en-GB"/>
        </w:rPr>
        <w:t xml:space="preserve">uncovered citizens with disabilities (only </w:t>
      </w:r>
      <w:r w:rsidR="00503EF9" w:rsidRPr="00517534">
        <w:rPr>
          <w:lang w:val="en-GB"/>
        </w:rPr>
        <w:t xml:space="preserve">one in ten </w:t>
      </w:r>
      <w:r w:rsidRPr="00517534">
        <w:rPr>
          <w:lang w:val="en-GB"/>
        </w:rPr>
        <w:t>receive</w:t>
      </w:r>
      <w:r w:rsidR="00503EF9" w:rsidRPr="00517534">
        <w:rPr>
          <w:lang w:val="en-GB"/>
        </w:rPr>
        <w:t>s</w:t>
      </w:r>
      <w:r w:rsidRPr="00517534">
        <w:rPr>
          <w:lang w:val="en-GB"/>
        </w:rPr>
        <w:t xml:space="preserve"> a benefit) would make the solution exceed budgetary capabilities.</w:t>
      </w:r>
    </w:p>
    <w:p w14:paraId="5357A798" w14:textId="135FA064" w:rsidR="008C1DE2" w:rsidRPr="00517534" w:rsidRDefault="00503EF9" w:rsidP="00771E9C">
      <w:pPr>
        <w:ind w:firstLine="708"/>
        <w:rPr>
          <w:lang w:val="en-GB"/>
        </w:rPr>
      </w:pPr>
      <w:r w:rsidRPr="00517534">
        <w:rPr>
          <w:lang w:val="en-GB"/>
        </w:rPr>
        <w:t>T</w:t>
      </w:r>
      <w:r w:rsidR="008C1DE2" w:rsidRPr="00517534">
        <w:rPr>
          <w:lang w:val="en-GB"/>
        </w:rPr>
        <w:t>he favoured option became amending the Law no. 04/l-131. The basic age pension would be replaced by a social age pension</w:t>
      </w:r>
      <w:r w:rsidRPr="00517534">
        <w:rPr>
          <w:lang w:val="en-GB"/>
        </w:rPr>
        <w:t xml:space="preserve"> that is </w:t>
      </w:r>
      <w:r w:rsidR="008C1DE2" w:rsidRPr="00517534">
        <w:rPr>
          <w:lang w:val="en-GB"/>
        </w:rPr>
        <w:t xml:space="preserve">means-tested and implicitly taxed at a rate of 100 per cent (so if one’s income is less than the social pension, one receives just the top-up). </w:t>
      </w:r>
      <w:r w:rsidRPr="00517534">
        <w:rPr>
          <w:lang w:val="en-GB"/>
        </w:rPr>
        <w:t xml:space="preserve">Eligibility would apply to </w:t>
      </w:r>
      <w:r w:rsidR="008C1DE2" w:rsidRPr="00517534">
        <w:rPr>
          <w:lang w:val="en-GB"/>
        </w:rPr>
        <w:t xml:space="preserve">both Kosovar and foreign citizens, provided that they have resided in Kosovo for the past 10 years (the last five as permanent residents). The benefit becomes non-exportable abroad in the absence of a bilateral agreement. The law would also regulate the main </w:t>
      </w:r>
      <w:r w:rsidRPr="00517534">
        <w:rPr>
          <w:lang w:val="en-GB"/>
        </w:rPr>
        <w:t xml:space="preserve">administrative </w:t>
      </w:r>
      <w:r w:rsidR="008C1DE2" w:rsidRPr="00517534">
        <w:rPr>
          <w:lang w:val="en-GB"/>
        </w:rPr>
        <w:t xml:space="preserve">procedures to monitor the residence and income requirements. </w:t>
      </w:r>
      <w:r w:rsidRPr="00517534">
        <w:rPr>
          <w:lang w:val="en-GB"/>
        </w:rPr>
        <w:t>T</w:t>
      </w:r>
      <w:r w:rsidR="008C1DE2" w:rsidRPr="00517534">
        <w:rPr>
          <w:lang w:val="en-GB"/>
        </w:rPr>
        <w:t>he criteria for the application to a disability pension would be clarified.</w:t>
      </w:r>
    </w:p>
    <w:p w14:paraId="64C54CCE" w14:textId="2422D903" w:rsidR="008C1DE2" w:rsidRPr="00517534" w:rsidRDefault="009B2B98" w:rsidP="004B5482">
      <w:pPr>
        <w:pStyle w:val="Heading2"/>
        <w:spacing w:line="240" w:lineRule="auto"/>
      </w:pPr>
      <w:r w:rsidRPr="00517534">
        <w:t>Design</w:t>
      </w:r>
      <w:r w:rsidR="008C1DE2" w:rsidRPr="00517534">
        <w:t xml:space="preserve"> </w:t>
      </w:r>
      <w:r w:rsidR="00EB4463" w:rsidRPr="00517534">
        <w:t>shortcomings</w:t>
      </w:r>
    </w:p>
    <w:p w14:paraId="00206BD5" w14:textId="41D478C5" w:rsidR="008C1DE2" w:rsidRPr="00517534" w:rsidRDefault="008C1DE2" w:rsidP="00771E9C">
      <w:pPr>
        <w:ind w:firstLine="708"/>
        <w:rPr>
          <w:lang w:val="en-GB"/>
        </w:rPr>
      </w:pPr>
      <w:r w:rsidRPr="00517534">
        <w:rPr>
          <w:lang w:val="en-GB"/>
        </w:rPr>
        <w:t xml:space="preserve">Two of the reform’s objectives </w:t>
      </w:r>
      <w:r w:rsidR="0067783A" w:rsidRPr="00517534">
        <w:rPr>
          <w:lang w:val="en-GB"/>
        </w:rPr>
        <w:t>we</w:t>
      </w:r>
      <w:r w:rsidRPr="00517534">
        <w:rPr>
          <w:lang w:val="en-GB"/>
        </w:rPr>
        <w:t xml:space="preserve">re particularly problematic. </w:t>
      </w:r>
      <w:r w:rsidR="0067783A" w:rsidRPr="00517534">
        <w:rPr>
          <w:lang w:val="en-GB"/>
        </w:rPr>
        <w:t>T</w:t>
      </w:r>
      <w:r w:rsidRPr="00517534">
        <w:rPr>
          <w:lang w:val="en-GB"/>
        </w:rPr>
        <w:t xml:space="preserve">he creation of an independent administrative body </w:t>
      </w:r>
      <w:r w:rsidR="00950A89" w:rsidRPr="00517534">
        <w:rPr>
          <w:lang w:val="en-GB"/>
        </w:rPr>
        <w:t>supplementing</w:t>
      </w:r>
      <w:r w:rsidRPr="00517534">
        <w:rPr>
          <w:lang w:val="en-GB"/>
        </w:rPr>
        <w:t xml:space="preserve"> the Department for Pension Administration (DAP) within the Labour Ministry </w:t>
      </w:r>
      <w:r w:rsidR="00950A89" w:rsidRPr="00517534">
        <w:rPr>
          <w:lang w:val="en-GB"/>
        </w:rPr>
        <w:t xml:space="preserve">would </w:t>
      </w:r>
      <w:r w:rsidRPr="00517534">
        <w:rPr>
          <w:lang w:val="en-GB"/>
        </w:rPr>
        <w:t xml:space="preserve">duplicate capacity. </w:t>
      </w:r>
      <w:r w:rsidR="00950A89" w:rsidRPr="00517534">
        <w:rPr>
          <w:lang w:val="en-GB"/>
        </w:rPr>
        <w:t xml:space="preserve">The general trend is instead </w:t>
      </w:r>
      <w:r w:rsidRPr="00517534">
        <w:rPr>
          <w:lang w:val="en-GB"/>
        </w:rPr>
        <w:t xml:space="preserve">to centralize and automatize social security procedures and communication. For example, </w:t>
      </w:r>
      <w:r w:rsidR="00950A89" w:rsidRPr="00517534">
        <w:rPr>
          <w:lang w:val="en-GB"/>
        </w:rPr>
        <w:t>most</w:t>
      </w:r>
      <w:r w:rsidRPr="00517534">
        <w:rPr>
          <w:lang w:val="en-GB"/>
        </w:rPr>
        <w:t xml:space="preserve"> Latin America</w:t>
      </w:r>
      <w:r w:rsidR="00950A89" w:rsidRPr="00517534">
        <w:rPr>
          <w:lang w:val="en-GB"/>
        </w:rPr>
        <w:t>n countries manage non-contributory pensions through the institutions responsible for the contributory pension system or for social assistance.</w:t>
      </w:r>
      <w:r w:rsidRPr="00517534">
        <w:rPr>
          <w:lang w:val="en-GB"/>
        </w:rPr>
        <w:t xml:space="preserve"> </w:t>
      </w:r>
      <w:r w:rsidR="00950A89" w:rsidRPr="00517534">
        <w:rPr>
          <w:lang w:val="en-GB"/>
        </w:rPr>
        <w:t>O</w:t>
      </w:r>
      <w:r w:rsidRPr="00517534">
        <w:rPr>
          <w:lang w:val="en-GB"/>
        </w:rPr>
        <w:t xml:space="preserve">nly Paraguay </w:t>
      </w:r>
      <w:r w:rsidR="00950A89" w:rsidRPr="00517534">
        <w:rPr>
          <w:lang w:val="en-GB"/>
        </w:rPr>
        <w:t>has</w:t>
      </w:r>
      <w:r w:rsidRPr="00517534">
        <w:rPr>
          <w:lang w:val="en-GB"/>
        </w:rPr>
        <w:t xml:space="preserve"> </w:t>
      </w:r>
      <w:r w:rsidR="00950A89" w:rsidRPr="00517534">
        <w:rPr>
          <w:lang w:val="en-GB"/>
        </w:rPr>
        <w:t xml:space="preserve">established </w:t>
      </w:r>
      <w:r w:rsidRPr="00517534">
        <w:rPr>
          <w:lang w:val="en-GB"/>
        </w:rPr>
        <w:t>an independent directory (</w:t>
      </w:r>
      <w:proofErr w:type="spellStart"/>
      <w:r w:rsidRPr="00517534">
        <w:rPr>
          <w:lang w:val="en-GB"/>
        </w:rPr>
        <w:t>Rofman</w:t>
      </w:r>
      <w:proofErr w:type="spellEnd"/>
      <w:r w:rsidRPr="00517534">
        <w:rPr>
          <w:lang w:val="en-GB"/>
        </w:rPr>
        <w:t xml:space="preserve">, </w:t>
      </w:r>
      <w:proofErr w:type="spellStart"/>
      <w:r w:rsidRPr="00517534">
        <w:rPr>
          <w:lang w:val="en-GB"/>
        </w:rPr>
        <w:t>Apella</w:t>
      </w:r>
      <w:proofErr w:type="spellEnd"/>
      <w:r w:rsidRPr="00517534">
        <w:rPr>
          <w:lang w:val="en-GB"/>
        </w:rPr>
        <w:t xml:space="preserve"> and </w:t>
      </w:r>
      <w:proofErr w:type="spellStart"/>
      <w:r w:rsidRPr="00517534">
        <w:rPr>
          <w:lang w:val="en-GB"/>
        </w:rPr>
        <w:t>Vezza</w:t>
      </w:r>
      <w:proofErr w:type="spellEnd"/>
      <w:r w:rsidRPr="00517534">
        <w:rPr>
          <w:lang w:val="en-GB"/>
        </w:rPr>
        <w:t>, 2015). Given the lack of trained staff and the unenviable record of patronage</w:t>
      </w:r>
      <w:r w:rsidR="002E15DA" w:rsidRPr="00517534">
        <w:rPr>
          <w:lang w:val="en-GB"/>
        </w:rPr>
        <w:t xml:space="preserve"> in Kosovo</w:t>
      </w:r>
      <w:r w:rsidRPr="00517534">
        <w:rPr>
          <w:lang w:val="en-GB"/>
        </w:rPr>
        <w:t xml:space="preserve">, the new administration would be </w:t>
      </w:r>
      <w:r w:rsidR="00950A89" w:rsidRPr="00517534">
        <w:rPr>
          <w:lang w:val="en-GB"/>
        </w:rPr>
        <w:t xml:space="preserve">both inefficient and </w:t>
      </w:r>
      <w:r w:rsidR="002E15DA" w:rsidRPr="00517534">
        <w:rPr>
          <w:lang w:val="en-GB"/>
        </w:rPr>
        <w:t>abused</w:t>
      </w:r>
      <w:r w:rsidRPr="00517534">
        <w:rPr>
          <w:lang w:val="en-GB"/>
        </w:rPr>
        <w:t xml:space="preserve"> to appoint cronies (</w:t>
      </w:r>
      <w:proofErr w:type="spellStart"/>
      <w:r w:rsidRPr="00517534">
        <w:rPr>
          <w:lang w:val="en-GB"/>
        </w:rPr>
        <w:t>Skendaj</w:t>
      </w:r>
      <w:proofErr w:type="spellEnd"/>
      <w:r w:rsidRPr="00517534">
        <w:rPr>
          <w:lang w:val="en-GB"/>
        </w:rPr>
        <w:t xml:space="preserve">, 2014). </w:t>
      </w:r>
    </w:p>
    <w:p w14:paraId="76D57A8E" w14:textId="0632A6A5" w:rsidR="008C1DE2" w:rsidRPr="00517534" w:rsidRDefault="00764EFF" w:rsidP="00771E9C">
      <w:pPr>
        <w:ind w:firstLine="708"/>
        <w:rPr>
          <w:lang w:val="en-GB"/>
        </w:rPr>
      </w:pPr>
      <w:r w:rsidRPr="00517534">
        <w:rPr>
          <w:lang w:val="en-GB"/>
        </w:rPr>
        <w:t>I</w:t>
      </w:r>
      <w:r w:rsidR="00950A89" w:rsidRPr="00517534">
        <w:rPr>
          <w:lang w:val="en-GB"/>
        </w:rPr>
        <w:t xml:space="preserve">ncome </w:t>
      </w:r>
      <w:r w:rsidR="00E2062E" w:rsidRPr="00517534">
        <w:rPr>
          <w:lang w:val="en-GB"/>
        </w:rPr>
        <w:t>tests</w:t>
      </w:r>
      <w:r w:rsidR="008C1DE2" w:rsidRPr="00517534">
        <w:rPr>
          <w:lang w:val="en-GB"/>
        </w:rPr>
        <w:t xml:space="preserve"> </w:t>
      </w:r>
      <w:r w:rsidR="00E2062E" w:rsidRPr="00517534">
        <w:rPr>
          <w:lang w:val="en-GB"/>
        </w:rPr>
        <w:t xml:space="preserve">would </w:t>
      </w:r>
      <w:r w:rsidR="008C1DE2" w:rsidRPr="00517534">
        <w:rPr>
          <w:lang w:val="en-GB"/>
        </w:rPr>
        <w:t xml:space="preserve">emasculate the </w:t>
      </w:r>
      <w:r w:rsidR="00E2062E" w:rsidRPr="00517534">
        <w:rPr>
          <w:lang w:val="en-GB"/>
        </w:rPr>
        <w:t xml:space="preserve">scheme’s </w:t>
      </w:r>
      <w:r w:rsidR="008C1DE2" w:rsidRPr="00517534">
        <w:rPr>
          <w:lang w:val="en-GB"/>
        </w:rPr>
        <w:t xml:space="preserve">core function of universal poverty alleviation. </w:t>
      </w:r>
      <w:r w:rsidR="00E2062E" w:rsidRPr="00517534">
        <w:rPr>
          <w:lang w:val="en-GB"/>
        </w:rPr>
        <w:t>I</w:t>
      </w:r>
      <w:r w:rsidR="008C1DE2" w:rsidRPr="00517534">
        <w:rPr>
          <w:lang w:val="en-GB"/>
        </w:rPr>
        <w:t xml:space="preserve">n the Labour Ministry’s </w:t>
      </w:r>
      <w:r w:rsidR="00E2062E" w:rsidRPr="00517534">
        <w:rPr>
          <w:lang w:val="en-GB"/>
        </w:rPr>
        <w:t>reasoning</w:t>
      </w:r>
      <w:r w:rsidR="008C1DE2" w:rsidRPr="00517534">
        <w:rPr>
          <w:lang w:val="en-GB"/>
        </w:rPr>
        <w:t xml:space="preserve">, </w:t>
      </w:r>
      <w:r w:rsidR="00E2062E" w:rsidRPr="00517534">
        <w:rPr>
          <w:lang w:val="en-GB"/>
        </w:rPr>
        <w:t xml:space="preserve">this would render the </w:t>
      </w:r>
      <w:r w:rsidR="008C1DE2" w:rsidRPr="00517534">
        <w:rPr>
          <w:lang w:val="en-GB"/>
        </w:rPr>
        <w:t xml:space="preserve">basic pension </w:t>
      </w:r>
      <w:r w:rsidR="00E2062E" w:rsidRPr="00517534">
        <w:rPr>
          <w:lang w:val="en-GB"/>
        </w:rPr>
        <w:t>comparable to</w:t>
      </w:r>
      <w:r w:rsidR="008C1DE2" w:rsidRPr="00517534">
        <w:rPr>
          <w:lang w:val="en-GB"/>
        </w:rPr>
        <w:t xml:space="preserve"> </w:t>
      </w:r>
      <w:r w:rsidR="00E2062E" w:rsidRPr="00517534">
        <w:rPr>
          <w:lang w:val="en-GB"/>
        </w:rPr>
        <w:t xml:space="preserve">the </w:t>
      </w:r>
      <w:r w:rsidR="008C1DE2" w:rsidRPr="00517534">
        <w:rPr>
          <w:lang w:val="en-GB"/>
        </w:rPr>
        <w:t>social assistance scheme</w:t>
      </w:r>
      <w:r w:rsidR="00E2062E" w:rsidRPr="00517534">
        <w:rPr>
          <w:lang w:val="en-GB"/>
        </w:rPr>
        <w:t>. Currently, they both fulfil</w:t>
      </w:r>
      <w:r w:rsidR="008C1DE2" w:rsidRPr="00517534">
        <w:rPr>
          <w:lang w:val="en-GB"/>
        </w:rPr>
        <w:t xml:space="preserve"> the same </w:t>
      </w:r>
      <w:r w:rsidR="00E2062E" w:rsidRPr="00517534">
        <w:rPr>
          <w:lang w:val="en-GB"/>
        </w:rPr>
        <w:t>function</w:t>
      </w:r>
      <w:r w:rsidR="008C1DE2" w:rsidRPr="00517534">
        <w:rPr>
          <w:lang w:val="en-GB"/>
        </w:rPr>
        <w:t xml:space="preserve"> but apply eligibility criteria </w:t>
      </w:r>
      <w:r w:rsidR="00E2062E" w:rsidRPr="00517534">
        <w:rPr>
          <w:lang w:val="en-GB"/>
        </w:rPr>
        <w:t xml:space="preserve">that </w:t>
      </w:r>
      <w:r w:rsidR="008C1DE2" w:rsidRPr="00517534">
        <w:rPr>
          <w:lang w:val="en-GB"/>
        </w:rPr>
        <w:t>are</w:t>
      </w:r>
      <w:r w:rsidR="00A1731A" w:rsidRPr="00517534">
        <w:rPr>
          <w:lang w:val="en-GB"/>
        </w:rPr>
        <w:t>, according to the Ministry,</w:t>
      </w:r>
      <w:r w:rsidR="008C1DE2" w:rsidRPr="00517534">
        <w:rPr>
          <w:lang w:val="en-GB"/>
        </w:rPr>
        <w:t xml:space="preserve"> soft and prone to abuse</w:t>
      </w:r>
      <w:r w:rsidR="00E2062E" w:rsidRPr="00517534">
        <w:rPr>
          <w:lang w:val="en-GB"/>
        </w:rPr>
        <w:t xml:space="preserve"> for pensions</w:t>
      </w:r>
      <w:r w:rsidR="008C1DE2" w:rsidRPr="00517534">
        <w:rPr>
          <w:lang w:val="en-GB"/>
        </w:rPr>
        <w:t xml:space="preserve">, </w:t>
      </w:r>
      <w:r w:rsidR="00E2062E" w:rsidRPr="00517534">
        <w:rPr>
          <w:lang w:val="en-GB"/>
        </w:rPr>
        <w:t xml:space="preserve">hard and solid for </w:t>
      </w:r>
      <w:r w:rsidR="008C1DE2" w:rsidRPr="00517534">
        <w:rPr>
          <w:lang w:val="en-GB"/>
        </w:rPr>
        <w:t>social assistance (Government</w:t>
      </w:r>
      <w:r w:rsidR="006A06D5" w:rsidRPr="00517534">
        <w:rPr>
          <w:lang w:val="en-GB"/>
        </w:rPr>
        <w:t xml:space="preserve"> RK</w:t>
      </w:r>
      <w:r w:rsidR="008C1DE2" w:rsidRPr="00517534">
        <w:rPr>
          <w:lang w:val="en-GB"/>
        </w:rPr>
        <w:t xml:space="preserve">, 2016). </w:t>
      </w:r>
    </w:p>
    <w:p w14:paraId="76CB91EB" w14:textId="6A2247C9" w:rsidR="008C1DE2" w:rsidRPr="00517534" w:rsidRDefault="00E2062E" w:rsidP="00771E9C">
      <w:pPr>
        <w:ind w:firstLine="708"/>
        <w:rPr>
          <w:lang w:val="en-GB"/>
        </w:rPr>
      </w:pPr>
      <w:r w:rsidRPr="00517534">
        <w:rPr>
          <w:lang w:val="en-GB"/>
        </w:rPr>
        <w:t>The pros of a</w:t>
      </w:r>
      <w:r w:rsidR="008C1DE2" w:rsidRPr="00517534">
        <w:rPr>
          <w:lang w:val="en-GB"/>
        </w:rPr>
        <w:t xml:space="preserve"> targeted system</w:t>
      </w:r>
      <w:r w:rsidRPr="00517534">
        <w:rPr>
          <w:lang w:val="en-GB"/>
        </w:rPr>
        <w:t xml:space="preserve"> are: potentially lower</w:t>
      </w:r>
      <w:r w:rsidR="008C1DE2" w:rsidRPr="00517534">
        <w:rPr>
          <w:lang w:val="en-GB"/>
        </w:rPr>
        <w:t xml:space="preserve"> fiscal costs, horizontal </w:t>
      </w:r>
      <w:r w:rsidRPr="00517534">
        <w:rPr>
          <w:lang w:val="en-GB"/>
        </w:rPr>
        <w:t>equity</w:t>
      </w:r>
      <w:r w:rsidR="008C1DE2" w:rsidRPr="00517534">
        <w:rPr>
          <w:lang w:val="en-GB"/>
        </w:rPr>
        <w:t xml:space="preserve"> (people who do not need a benefit do not get it) and </w:t>
      </w:r>
      <w:r w:rsidRPr="00517534">
        <w:rPr>
          <w:lang w:val="en-GB"/>
        </w:rPr>
        <w:t>higher</w:t>
      </w:r>
      <w:r w:rsidR="008C1DE2" w:rsidRPr="00517534">
        <w:rPr>
          <w:lang w:val="en-GB"/>
        </w:rPr>
        <w:t xml:space="preserve"> political support than for universalism (</w:t>
      </w:r>
      <w:proofErr w:type="spellStart"/>
      <w:r w:rsidR="008C1DE2" w:rsidRPr="00517534">
        <w:rPr>
          <w:lang w:val="en-GB"/>
        </w:rPr>
        <w:t>Grosh</w:t>
      </w:r>
      <w:proofErr w:type="spellEnd"/>
      <w:r w:rsidR="008C1DE2" w:rsidRPr="00517534">
        <w:rPr>
          <w:lang w:val="en-GB"/>
        </w:rPr>
        <w:t xml:space="preserve"> and </w:t>
      </w:r>
      <w:proofErr w:type="spellStart"/>
      <w:r w:rsidR="008C1DE2" w:rsidRPr="00517534">
        <w:rPr>
          <w:lang w:val="en-GB"/>
        </w:rPr>
        <w:t>Leite</w:t>
      </w:r>
      <w:proofErr w:type="spellEnd"/>
      <w:r w:rsidR="008C1DE2" w:rsidRPr="00517534">
        <w:rPr>
          <w:lang w:val="en-GB"/>
        </w:rPr>
        <w:t xml:space="preserve">, 2009; </w:t>
      </w:r>
      <w:proofErr w:type="spellStart"/>
      <w:r w:rsidR="008C1DE2" w:rsidRPr="00517534">
        <w:rPr>
          <w:lang w:val="en-GB"/>
        </w:rPr>
        <w:t>Korpi</w:t>
      </w:r>
      <w:proofErr w:type="spellEnd"/>
      <w:r w:rsidR="008C1DE2" w:rsidRPr="00517534">
        <w:rPr>
          <w:lang w:val="en-GB"/>
        </w:rPr>
        <w:t xml:space="preserve"> and Palme, 1998). </w:t>
      </w:r>
      <w:r w:rsidRPr="00517534">
        <w:rPr>
          <w:lang w:val="en-GB"/>
        </w:rPr>
        <w:t>Yet, the cons can be substantial: targeting is</w:t>
      </w:r>
      <w:r w:rsidR="008C1DE2" w:rsidRPr="00517534">
        <w:rPr>
          <w:lang w:val="en-GB"/>
        </w:rPr>
        <w:t xml:space="preserve"> complex</w:t>
      </w:r>
      <w:r w:rsidRPr="00517534">
        <w:rPr>
          <w:lang w:val="en-GB"/>
        </w:rPr>
        <w:t>,</w:t>
      </w:r>
      <w:r w:rsidR="008C1DE2" w:rsidRPr="00517534">
        <w:rPr>
          <w:lang w:val="en-GB"/>
        </w:rPr>
        <w:t xml:space="preserve"> expensive </w:t>
      </w:r>
      <w:r w:rsidRPr="00517534">
        <w:rPr>
          <w:lang w:val="en-GB"/>
        </w:rPr>
        <w:t>and,</w:t>
      </w:r>
      <w:r w:rsidR="008C1DE2" w:rsidRPr="00517534">
        <w:rPr>
          <w:lang w:val="en-GB"/>
        </w:rPr>
        <w:t xml:space="preserve"> depending on the type </w:t>
      </w:r>
      <w:r w:rsidR="00A1731A" w:rsidRPr="00517534">
        <w:rPr>
          <w:lang w:val="en-GB"/>
        </w:rPr>
        <w:t>–</w:t>
      </w:r>
      <w:r w:rsidRPr="00517534">
        <w:rPr>
          <w:lang w:val="en-GB"/>
        </w:rPr>
        <w:t xml:space="preserve"> </w:t>
      </w:r>
      <w:r w:rsidR="008C1DE2" w:rsidRPr="00517534">
        <w:rPr>
          <w:lang w:val="en-GB"/>
        </w:rPr>
        <w:t xml:space="preserve">income, pension, </w:t>
      </w:r>
      <w:r w:rsidR="00A1731A" w:rsidRPr="00517534">
        <w:rPr>
          <w:lang w:val="en-GB"/>
        </w:rPr>
        <w:t xml:space="preserve">by </w:t>
      </w:r>
      <w:r w:rsidR="008C1DE2" w:rsidRPr="00517534">
        <w:rPr>
          <w:lang w:val="en-GB"/>
        </w:rPr>
        <w:t>proxy etc.</w:t>
      </w:r>
      <w:r w:rsidRPr="00517534">
        <w:rPr>
          <w:lang w:val="en-GB"/>
        </w:rPr>
        <w:t xml:space="preserve"> </w:t>
      </w:r>
      <w:r w:rsidR="00A1731A" w:rsidRPr="00517534">
        <w:rPr>
          <w:lang w:val="en-GB"/>
        </w:rPr>
        <w:t>–</w:t>
      </w:r>
      <w:r w:rsidR="008C1DE2" w:rsidRPr="00517534">
        <w:rPr>
          <w:lang w:val="en-GB"/>
        </w:rPr>
        <w:t xml:space="preserve"> has its own administrative, efficiency and equity problems. </w:t>
      </w:r>
    </w:p>
    <w:p w14:paraId="7AA9E804" w14:textId="7F84583E" w:rsidR="008C1DE2" w:rsidRPr="00517534" w:rsidRDefault="00E2062E" w:rsidP="00771E9C">
      <w:pPr>
        <w:ind w:firstLine="708"/>
        <w:rPr>
          <w:lang w:val="en-GB"/>
        </w:rPr>
      </w:pPr>
      <w:r w:rsidRPr="00517534">
        <w:rPr>
          <w:lang w:val="en-GB"/>
        </w:rPr>
        <w:t>Experience tells that these problems would be acute in Kosovo.</w:t>
      </w:r>
    </w:p>
    <w:p w14:paraId="6336E733" w14:textId="20194A20" w:rsidR="008C1DE2" w:rsidRPr="00517534" w:rsidRDefault="00E2062E" w:rsidP="00771E9C">
      <w:pPr>
        <w:ind w:firstLine="708"/>
        <w:rPr>
          <w:lang w:val="en-GB"/>
        </w:rPr>
      </w:pPr>
      <w:r w:rsidRPr="00517534">
        <w:rPr>
          <w:lang w:val="en-GB"/>
        </w:rPr>
        <w:t>If</w:t>
      </w:r>
      <w:r w:rsidR="008C1DE2" w:rsidRPr="00517534">
        <w:rPr>
          <w:lang w:val="en-GB"/>
        </w:rPr>
        <w:t xml:space="preserve"> social assistance in Kosov</w:t>
      </w:r>
      <w:r w:rsidR="00A1731A" w:rsidRPr="00517534">
        <w:rPr>
          <w:lang w:val="en-GB"/>
        </w:rPr>
        <w:t>o</w:t>
      </w:r>
      <w:r w:rsidR="008C1DE2" w:rsidRPr="00517534">
        <w:rPr>
          <w:lang w:val="en-GB"/>
        </w:rPr>
        <w:t xml:space="preserve"> is </w:t>
      </w:r>
      <w:r w:rsidRPr="00517534">
        <w:rPr>
          <w:lang w:val="en-GB"/>
        </w:rPr>
        <w:t>considered</w:t>
      </w:r>
      <w:r w:rsidR="008C1DE2" w:rsidRPr="00517534">
        <w:rPr>
          <w:lang w:val="en-GB"/>
        </w:rPr>
        <w:t xml:space="preserve"> to be relatively efficien</w:t>
      </w:r>
      <w:r w:rsidRPr="00517534">
        <w:rPr>
          <w:lang w:val="en-GB"/>
        </w:rPr>
        <w:t>t</w:t>
      </w:r>
      <w:r w:rsidR="00A1731A" w:rsidRPr="00517534">
        <w:rPr>
          <w:lang w:val="en-GB"/>
        </w:rPr>
        <w:t xml:space="preserve"> despite being based on a hybrid form of targeting, including categorical targeting, a proxy-means (asset) and means (income) test. Yet,</w:t>
      </w:r>
      <w:r w:rsidR="008C1DE2" w:rsidRPr="00517534">
        <w:rPr>
          <w:lang w:val="en-GB"/>
        </w:rPr>
        <w:t xml:space="preserve"> there are </w:t>
      </w:r>
      <w:r w:rsidR="00A1731A" w:rsidRPr="00517534">
        <w:rPr>
          <w:lang w:val="en-GB"/>
        </w:rPr>
        <w:t xml:space="preserve">substantial </w:t>
      </w:r>
      <w:r w:rsidR="008C1DE2" w:rsidRPr="00517534">
        <w:rPr>
          <w:lang w:val="en-GB"/>
        </w:rPr>
        <w:t>coverage gaps, e.g. poor children are excluded (</w:t>
      </w:r>
      <w:proofErr w:type="spellStart"/>
      <w:r w:rsidR="008C1DE2" w:rsidRPr="00517534">
        <w:rPr>
          <w:lang w:val="en-GB"/>
        </w:rPr>
        <w:t>Roelen</w:t>
      </w:r>
      <w:proofErr w:type="spellEnd"/>
      <w:r w:rsidR="008C1DE2" w:rsidRPr="00517534">
        <w:rPr>
          <w:lang w:val="en-GB"/>
        </w:rPr>
        <w:t xml:space="preserve"> and Gassmann, 2011). </w:t>
      </w:r>
      <w:r w:rsidR="00A1731A" w:rsidRPr="00517534">
        <w:rPr>
          <w:lang w:val="en-GB"/>
        </w:rPr>
        <w:t>Consequently</w:t>
      </w:r>
      <w:r w:rsidR="009B2B98" w:rsidRPr="00517534">
        <w:rPr>
          <w:lang w:val="en-GB"/>
        </w:rPr>
        <w:t xml:space="preserve">, the exclusion of </w:t>
      </w:r>
      <w:r w:rsidR="00A1731A" w:rsidRPr="00517534">
        <w:rPr>
          <w:lang w:val="en-GB"/>
        </w:rPr>
        <w:t xml:space="preserve">a number of </w:t>
      </w:r>
      <w:r w:rsidR="009B2B98" w:rsidRPr="00517534">
        <w:rPr>
          <w:lang w:val="en-GB"/>
        </w:rPr>
        <w:t xml:space="preserve">elderly citizens from </w:t>
      </w:r>
      <w:r w:rsidR="00A1731A" w:rsidRPr="00517534">
        <w:rPr>
          <w:lang w:val="en-GB"/>
        </w:rPr>
        <w:t>a</w:t>
      </w:r>
      <w:r w:rsidR="009B2B98" w:rsidRPr="00517534">
        <w:rPr>
          <w:lang w:val="en-GB"/>
        </w:rPr>
        <w:t xml:space="preserve"> new </w:t>
      </w:r>
      <w:r w:rsidR="00A1731A" w:rsidRPr="00517534">
        <w:rPr>
          <w:lang w:val="en-GB"/>
        </w:rPr>
        <w:t xml:space="preserve">targeted basic pension </w:t>
      </w:r>
      <w:r w:rsidR="009B2B98" w:rsidRPr="00517534">
        <w:rPr>
          <w:lang w:val="en-GB"/>
        </w:rPr>
        <w:t xml:space="preserve">scheme would be foreseeable. </w:t>
      </w:r>
      <w:r w:rsidR="00A1731A" w:rsidRPr="00517534">
        <w:rPr>
          <w:lang w:val="en-GB"/>
        </w:rPr>
        <w:t>Depriving these citizens of an income floor</w:t>
      </w:r>
      <w:r w:rsidR="009B2B98" w:rsidRPr="00517534">
        <w:rPr>
          <w:lang w:val="en-GB"/>
        </w:rPr>
        <w:t xml:space="preserve"> </w:t>
      </w:r>
      <w:r w:rsidR="00A1731A" w:rsidRPr="00517534">
        <w:rPr>
          <w:lang w:val="en-GB"/>
        </w:rPr>
        <w:t>can</w:t>
      </w:r>
      <w:r w:rsidR="009B2B98" w:rsidRPr="00517534">
        <w:rPr>
          <w:lang w:val="en-GB"/>
        </w:rPr>
        <w:t xml:space="preserve"> have </w:t>
      </w:r>
      <w:r w:rsidR="008C1DE2" w:rsidRPr="00517534">
        <w:rPr>
          <w:lang w:val="en-GB"/>
        </w:rPr>
        <w:t>severe consequences on individual well-being</w:t>
      </w:r>
      <w:r w:rsidR="009B2B98" w:rsidRPr="00517534">
        <w:rPr>
          <w:lang w:val="en-GB"/>
        </w:rPr>
        <w:t xml:space="preserve"> and even increase the overall probability of premature death (see </w:t>
      </w:r>
      <w:r w:rsidR="008C1DE2" w:rsidRPr="00517534">
        <w:rPr>
          <w:lang w:val="en-GB"/>
        </w:rPr>
        <w:t>Jensen and Richter, 2004).</w:t>
      </w:r>
    </w:p>
    <w:p w14:paraId="4C507235" w14:textId="7953CE4F" w:rsidR="008C1DE2" w:rsidRPr="00517534" w:rsidRDefault="009B2B98" w:rsidP="00771E9C">
      <w:pPr>
        <w:ind w:firstLine="708"/>
        <w:rPr>
          <w:lang w:val="en-GB"/>
        </w:rPr>
      </w:pPr>
      <w:r w:rsidRPr="00517534">
        <w:rPr>
          <w:lang w:val="en-GB"/>
        </w:rPr>
        <w:t>S</w:t>
      </w:r>
      <w:r w:rsidR="008C1DE2" w:rsidRPr="00517534">
        <w:rPr>
          <w:lang w:val="en-GB"/>
        </w:rPr>
        <w:t xml:space="preserve">trengthening the residence test and the coherence of the pension system is likely to improve financial sustainability. </w:t>
      </w:r>
      <w:r w:rsidR="00F41E72">
        <w:rPr>
          <w:lang w:val="en-GB"/>
        </w:rPr>
        <w:t>However</w:t>
      </w:r>
      <w:r w:rsidRPr="00517534">
        <w:rPr>
          <w:lang w:val="en-GB"/>
        </w:rPr>
        <w:t xml:space="preserve">, </w:t>
      </w:r>
      <w:r w:rsidR="008C1DE2" w:rsidRPr="00517534">
        <w:rPr>
          <w:lang w:val="en-GB"/>
        </w:rPr>
        <w:t xml:space="preserve">due to economic informality and large inflows of remittances, the required administrative capacity </w:t>
      </w:r>
      <w:r w:rsidRPr="00517534">
        <w:rPr>
          <w:lang w:val="en-GB"/>
        </w:rPr>
        <w:t>would be</w:t>
      </w:r>
      <w:r w:rsidR="008C1DE2" w:rsidRPr="00517534">
        <w:rPr>
          <w:lang w:val="en-GB"/>
        </w:rPr>
        <w:t xml:space="preserve"> </w:t>
      </w:r>
      <w:r w:rsidR="00B917FD" w:rsidRPr="00517534">
        <w:rPr>
          <w:lang w:val="en-GB"/>
        </w:rPr>
        <w:t>substantial,</w:t>
      </w:r>
      <w:r w:rsidR="008C1DE2" w:rsidRPr="00517534">
        <w:rPr>
          <w:lang w:val="en-GB"/>
        </w:rPr>
        <w:t xml:space="preserve"> and the operating costs likely to partly offset the </w:t>
      </w:r>
      <w:r w:rsidR="00A1731A" w:rsidRPr="00517534">
        <w:rPr>
          <w:lang w:val="en-GB"/>
        </w:rPr>
        <w:t>potential</w:t>
      </w:r>
      <w:r w:rsidR="008C1DE2" w:rsidRPr="00517534">
        <w:rPr>
          <w:lang w:val="en-GB"/>
        </w:rPr>
        <w:t xml:space="preserve"> savings.</w:t>
      </w:r>
    </w:p>
    <w:p w14:paraId="453A3D8F" w14:textId="3F707255" w:rsidR="008C1DE2" w:rsidRPr="00517534" w:rsidRDefault="009B2B98" w:rsidP="00771E9C">
      <w:pPr>
        <w:ind w:firstLine="708"/>
        <w:rPr>
          <w:lang w:val="en-GB"/>
        </w:rPr>
      </w:pPr>
      <w:r w:rsidRPr="00517534">
        <w:rPr>
          <w:lang w:val="en-GB"/>
        </w:rPr>
        <w:t>Finally</w:t>
      </w:r>
      <w:r w:rsidR="008C1DE2" w:rsidRPr="00517534">
        <w:rPr>
          <w:lang w:val="en-GB"/>
        </w:rPr>
        <w:t xml:space="preserve">, if testing against other pension income is sensible, general income and other means testing creates inactivity and poverty traps. The likely consequences </w:t>
      </w:r>
      <w:r w:rsidRPr="00517534">
        <w:rPr>
          <w:lang w:val="en-GB"/>
        </w:rPr>
        <w:t>would be</w:t>
      </w:r>
      <w:r w:rsidR="008C1DE2" w:rsidRPr="00517534">
        <w:rPr>
          <w:lang w:val="en-GB"/>
        </w:rPr>
        <w:t xml:space="preserve"> </w:t>
      </w:r>
      <w:r w:rsidRPr="00517534">
        <w:rPr>
          <w:lang w:val="en-GB"/>
        </w:rPr>
        <w:t xml:space="preserve">fewer persons engaged in </w:t>
      </w:r>
      <w:r w:rsidR="008C1DE2" w:rsidRPr="00517534">
        <w:rPr>
          <w:lang w:val="en-GB"/>
        </w:rPr>
        <w:t xml:space="preserve">gainful employment or self-employment </w:t>
      </w:r>
      <w:r w:rsidRPr="00517534">
        <w:rPr>
          <w:lang w:val="en-GB"/>
        </w:rPr>
        <w:t>during</w:t>
      </w:r>
      <w:r w:rsidR="008C1DE2" w:rsidRPr="00517534">
        <w:rPr>
          <w:lang w:val="en-GB"/>
        </w:rPr>
        <w:t xml:space="preserve"> retirement and disincentives for younger, lower</w:t>
      </w:r>
      <w:r w:rsidRPr="00517534">
        <w:rPr>
          <w:lang w:val="en-GB"/>
        </w:rPr>
        <w:t>-</w:t>
      </w:r>
      <w:r w:rsidR="008C1DE2" w:rsidRPr="00517534">
        <w:rPr>
          <w:lang w:val="en-GB"/>
        </w:rPr>
        <w:t>income workers to save or formalize their employment status.</w:t>
      </w:r>
    </w:p>
    <w:p w14:paraId="66587CC6" w14:textId="083F0466" w:rsidR="008C1DE2" w:rsidRPr="00517534" w:rsidRDefault="009B2B98" w:rsidP="004B5482">
      <w:pPr>
        <w:pStyle w:val="Heading2"/>
        <w:spacing w:line="240" w:lineRule="auto"/>
      </w:pPr>
      <w:r w:rsidRPr="00517534">
        <w:lastRenderedPageBreak/>
        <w:t xml:space="preserve">Procedural </w:t>
      </w:r>
      <w:r w:rsidR="00EB4463" w:rsidRPr="00517534">
        <w:t>flaws</w:t>
      </w:r>
    </w:p>
    <w:p w14:paraId="6BB7B25C" w14:textId="7E9074CE" w:rsidR="008C1DE2" w:rsidRPr="00517534" w:rsidRDefault="008D1791" w:rsidP="002E7F04">
      <w:pPr>
        <w:ind w:firstLine="708"/>
        <w:rPr>
          <w:lang w:val="en-GB"/>
        </w:rPr>
      </w:pPr>
      <w:r w:rsidRPr="00517534">
        <w:rPr>
          <w:lang w:val="en-GB"/>
        </w:rPr>
        <w:t xml:space="preserve">As amending </w:t>
      </w:r>
      <w:r w:rsidR="008C1DE2" w:rsidRPr="00517534">
        <w:rPr>
          <w:lang w:val="en-GB"/>
        </w:rPr>
        <w:t>Law no. 04/l-131 affects every Kosovar citizen</w:t>
      </w:r>
      <w:r w:rsidRPr="00517534">
        <w:rPr>
          <w:lang w:val="en-GB"/>
        </w:rPr>
        <w:t>,</w:t>
      </w:r>
      <w:r w:rsidR="008C1DE2" w:rsidRPr="00517534">
        <w:rPr>
          <w:lang w:val="en-GB"/>
        </w:rPr>
        <w:t xml:space="preserve"> an encompassing consultation process with civil society actors</w:t>
      </w:r>
      <w:r w:rsidRPr="00517534">
        <w:rPr>
          <w:lang w:val="en-GB"/>
        </w:rPr>
        <w:t xml:space="preserve"> should have aimed at</w:t>
      </w:r>
      <w:r w:rsidR="008C1DE2" w:rsidRPr="00517534">
        <w:rPr>
          <w:lang w:val="en-GB"/>
        </w:rPr>
        <w:t xml:space="preserve"> reaching consensus. Instead, the procedure involved mainly the Labour Ministry staff and external consultants</w:t>
      </w:r>
      <w:r w:rsidR="008877B7" w:rsidRPr="00517534">
        <w:rPr>
          <w:lang w:val="en-GB"/>
        </w:rPr>
        <w:t>.</w:t>
      </w:r>
      <w:r w:rsidRPr="00517534">
        <w:rPr>
          <w:lang w:val="en-GB"/>
        </w:rPr>
        <w:t xml:space="preserve"> </w:t>
      </w:r>
      <w:r w:rsidR="008877B7" w:rsidRPr="00517534">
        <w:rPr>
          <w:lang w:val="en-GB"/>
        </w:rPr>
        <w:t>P</w:t>
      </w:r>
      <w:r w:rsidR="008C1DE2" w:rsidRPr="00517534">
        <w:rPr>
          <w:lang w:val="en-GB"/>
        </w:rPr>
        <w:t xml:space="preserve">ublic consultations lasted one week only </w:t>
      </w:r>
      <w:r w:rsidRPr="00517534">
        <w:rPr>
          <w:lang w:val="en-GB"/>
        </w:rPr>
        <w:t xml:space="preserve">in </w:t>
      </w:r>
      <w:r w:rsidR="008C1DE2" w:rsidRPr="00517534">
        <w:rPr>
          <w:lang w:val="en-GB"/>
        </w:rPr>
        <w:t>January 2016 (Government</w:t>
      </w:r>
      <w:r w:rsidR="00B917FD" w:rsidRPr="00517534">
        <w:rPr>
          <w:lang w:val="en-GB"/>
        </w:rPr>
        <w:t xml:space="preserve"> RK</w:t>
      </w:r>
      <w:r w:rsidR="008C1DE2" w:rsidRPr="00517534">
        <w:rPr>
          <w:lang w:val="en-GB"/>
        </w:rPr>
        <w:t>, 2016).</w:t>
      </w:r>
    </w:p>
    <w:p w14:paraId="0D751DCF" w14:textId="0C9E9F2B" w:rsidR="008D1791" w:rsidRPr="00517534" w:rsidRDefault="008D1791" w:rsidP="002E7F04">
      <w:pPr>
        <w:ind w:firstLine="708"/>
        <w:rPr>
          <w:lang w:val="en-GB"/>
        </w:rPr>
      </w:pPr>
      <w:r w:rsidRPr="00517534">
        <w:rPr>
          <w:lang w:val="en-GB"/>
        </w:rPr>
        <w:t xml:space="preserve">In addition to possible legal shortcomings </w:t>
      </w:r>
      <w:r w:rsidR="00A1731A" w:rsidRPr="00517534">
        <w:rPr>
          <w:lang w:val="en-GB"/>
        </w:rPr>
        <w:t>–</w:t>
      </w:r>
      <w:r w:rsidRPr="00517534">
        <w:rPr>
          <w:lang w:val="en-GB"/>
        </w:rPr>
        <w:t xml:space="preserve"> amendments should not rewrite more than a certain amount of a</w:t>
      </w:r>
      <w:r w:rsidR="00A1731A" w:rsidRPr="00517534">
        <w:rPr>
          <w:lang w:val="en-GB"/>
        </w:rPr>
        <w:t>n</w:t>
      </w:r>
      <w:r w:rsidRPr="00517534">
        <w:rPr>
          <w:lang w:val="en-GB"/>
        </w:rPr>
        <w:t xml:space="preserve"> </w:t>
      </w:r>
      <w:r w:rsidR="00A1731A" w:rsidRPr="00517534">
        <w:rPr>
          <w:lang w:val="en-GB"/>
        </w:rPr>
        <w:t>existing act</w:t>
      </w:r>
      <w:r w:rsidRPr="00517534">
        <w:rPr>
          <w:lang w:val="en-GB"/>
        </w:rPr>
        <w:t xml:space="preserve">, failing that, a new law should be drafted (KSI, 2016) </w:t>
      </w:r>
      <w:r w:rsidR="00A1731A" w:rsidRPr="00517534">
        <w:rPr>
          <w:lang w:val="en-GB"/>
        </w:rPr>
        <w:t>–</w:t>
      </w:r>
      <w:r w:rsidR="008C1DE2" w:rsidRPr="00517534">
        <w:rPr>
          <w:lang w:val="en-GB"/>
        </w:rPr>
        <w:t xml:space="preserve"> the motives behind the proposed </w:t>
      </w:r>
      <w:r w:rsidRPr="00517534">
        <w:rPr>
          <w:lang w:val="en-GB"/>
        </w:rPr>
        <w:t>reform</w:t>
      </w:r>
      <w:r w:rsidR="008C1DE2" w:rsidRPr="00517534">
        <w:rPr>
          <w:lang w:val="en-GB"/>
        </w:rPr>
        <w:t xml:space="preserve"> were to harmonize the basic age pension to social assistance and to generate fiscal savings. </w:t>
      </w:r>
    </w:p>
    <w:p w14:paraId="6C356010" w14:textId="56979B0F" w:rsidR="008C1DE2" w:rsidRPr="00517534" w:rsidRDefault="00EB4463" w:rsidP="002E7F04">
      <w:pPr>
        <w:ind w:firstLine="708"/>
        <w:rPr>
          <w:lang w:val="en-GB"/>
        </w:rPr>
      </w:pPr>
      <w:r w:rsidRPr="00517534">
        <w:rPr>
          <w:lang w:val="en-GB"/>
        </w:rPr>
        <w:t xml:space="preserve">The stated </w:t>
      </w:r>
      <w:r w:rsidR="008C1DE2" w:rsidRPr="00517534">
        <w:rPr>
          <w:lang w:val="en-GB"/>
        </w:rPr>
        <w:t xml:space="preserve">objectives </w:t>
      </w:r>
      <w:r w:rsidR="008877B7" w:rsidRPr="00517534">
        <w:rPr>
          <w:lang w:val="en-GB"/>
        </w:rPr>
        <w:t>do</w:t>
      </w:r>
      <w:r w:rsidR="00A1731A" w:rsidRPr="00517534">
        <w:rPr>
          <w:lang w:val="en-GB"/>
        </w:rPr>
        <w:t xml:space="preserve"> little</w:t>
      </w:r>
      <w:r w:rsidR="008877B7" w:rsidRPr="00517534">
        <w:rPr>
          <w:lang w:val="en-GB"/>
        </w:rPr>
        <w:t xml:space="preserve"> justice</w:t>
      </w:r>
      <w:r w:rsidRPr="00517534">
        <w:rPr>
          <w:lang w:val="en-GB"/>
        </w:rPr>
        <w:t xml:space="preserve"> </w:t>
      </w:r>
      <w:r w:rsidR="008877B7" w:rsidRPr="00517534">
        <w:rPr>
          <w:lang w:val="en-GB"/>
        </w:rPr>
        <w:t>to</w:t>
      </w:r>
      <w:r w:rsidR="008C1DE2" w:rsidRPr="00517534">
        <w:rPr>
          <w:lang w:val="en-GB"/>
        </w:rPr>
        <w:t xml:space="preserve"> the raison d'être of the Kosovar zero pillar, which is to protect from poverty</w:t>
      </w:r>
      <w:r w:rsidRPr="00517534">
        <w:rPr>
          <w:lang w:val="en-GB"/>
        </w:rPr>
        <w:t>.</w:t>
      </w:r>
      <w:r w:rsidR="008C1DE2" w:rsidRPr="00517534">
        <w:rPr>
          <w:lang w:val="en-GB"/>
        </w:rPr>
        <w:t xml:space="preserve"> </w:t>
      </w:r>
      <w:r w:rsidRPr="00517534">
        <w:rPr>
          <w:lang w:val="en-GB"/>
        </w:rPr>
        <w:t>According to t</w:t>
      </w:r>
      <w:r w:rsidR="008C1DE2" w:rsidRPr="00517534">
        <w:rPr>
          <w:lang w:val="en-GB"/>
        </w:rPr>
        <w:t>he Finance Ministry</w:t>
      </w:r>
      <w:r w:rsidRPr="00517534">
        <w:rPr>
          <w:lang w:val="en-GB"/>
        </w:rPr>
        <w:t xml:space="preserve">’s recommendations, the liberated </w:t>
      </w:r>
      <w:r w:rsidR="008C1DE2" w:rsidRPr="00517534">
        <w:rPr>
          <w:lang w:val="en-GB"/>
        </w:rPr>
        <w:t xml:space="preserve">funds </w:t>
      </w:r>
      <w:r w:rsidR="008877B7" w:rsidRPr="00517534">
        <w:rPr>
          <w:lang w:val="en-GB"/>
        </w:rPr>
        <w:t>w</w:t>
      </w:r>
      <w:r w:rsidRPr="00517534">
        <w:rPr>
          <w:lang w:val="en-GB"/>
        </w:rPr>
        <w:t xml:space="preserve">ould </w:t>
      </w:r>
      <w:r w:rsidR="008C1DE2" w:rsidRPr="00517534">
        <w:rPr>
          <w:lang w:val="en-GB"/>
        </w:rPr>
        <w:t xml:space="preserve">finance the family and work disability schemes that were legislated in 2014 but </w:t>
      </w:r>
      <w:r w:rsidR="00A1731A" w:rsidRPr="00517534">
        <w:rPr>
          <w:lang w:val="en-GB"/>
        </w:rPr>
        <w:t>not yet</w:t>
      </w:r>
      <w:r w:rsidR="008C1DE2" w:rsidRPr="00517534">
        <w:rPr>
          <w:lang w:val="en-GB"/>
        </w:rPr>
        <w:t xml:space="preserve"> implemented. </w:t>
      </w:r>
      <w:r w:rsidRPr="00517534">
        <w:rPr>
          <w:lang w:val="en-GB"/>
        </w:rPr>
        <w:t xml:space="preserve">The group that would benefit the most, war veterans, </w:t>
      </w:r>
      <w:r w:rsidR="008877B7" w:rsidRPr="00517534">
        <w:rPr>
          <w:lang w:val="en-GB"/>
        </w:rPr>
        <w:t>was</w:t>
      </w:r>
      <w:r w:rsidRPr="00517534">
        <w:rPr>
          <w:lang w:val="en-GB"/>
        </w:rPr>
        <w:t xml:space="preserve"> never explicitly mentioned. </w:t>
      </w:r>
    </w:p>
    <w:p w14:paraId="0C5A8098" w14:textId="77777777" w:rsidR="008877B7" w:rsidRPr="00517534" w:rsidRDefault="008C1DE2" w:rsidP="002E7F04">
      <w:pPr>
        <w:ind w:firstLine="708"/>
        <w:rPr>
          <w:lang w:val="en-GB"/>
        </w:rPr>
      </w:pPr>
      <w:r w:rsidRPr="00517534">
        <w:rPr>
          <w:lang w:val="en-GB"/>
        </w:rPr>
        <w:t>S</w:t>
      </w:r>
      <w:r w:rsidR="008877B7" w:rsidRPr="00517534">
        <w:rPr>
          <w:lang w:val="en-GB"/>
        </w:rPr>
        <w:t>everal reasons made Kosovar basic pensions a</w:t>
      </w:r>
      <w:r w:rsidR="005A3D02" w:rsidRPr="00517534">
        <w:rPr>
          <w:lang w:val="en-GB"/>
        </w:rPr>
        <w:t xml:space="preserve"> </w:t>
      </w:r>
      <w:r w:rsidRPr="00517534">
        <w:rPr>
          <w:i/>
          <w:lang w:val="en-GB"/>
        </w:rPr>
        <w:t>path of least resistance</w:t>
      </w:r>
      <w:r w:rsidRPr="00517534">
        <w:rPr>
          <w:lang w:val="en-GB"/>
        </w:rPr>
        <w:t xml:space="preserve"> </w:t>
      </w:r>
      <w:r w:rsidR="008877B7" w:rsidRPr="00517534">
        <w:rPr>
          <w:lang w:val="en-GB"/>
        </w:rPr>
        <w:t>where to apply cuts</w:t>
      </w:r>
      <w:r w:rsidRPr="00517534">
        <w:rPr>
          <w:lang w:val="en-GB"/>
        </w:rPr>
        <w:t xml:space="preserve"> (</w:t>
      </w:r>
      <w:proofErr w:type="spellStart"/>
      <w:r w:rsidRPr="00517534">
        <w:rPr>
          <w:lang w:val="en-GB"/>
        </w:rPr>
        <w:t>Bonoli</w:t>
      </w:r>
      <w:proofErr w:type="spellEnd"/>
      <w:r w:rsidRPr="00517534">
        <w:rPr>
          <w:lang w:val="en-GB"/>
        </w:rPr>
        <w:t xml:space="preserve">, 2012). </w:t>
      </w:r>
    </w:p>
    <w:p w14:paraId="3D378B41" w14:textId="721D9B70" w:rsidR="00A1731A" w:rsidRPr="00517534" w:rsidRDefault="008877B7" w:rsidP="002E7F04">
      <w:pPr>
        <w:ind w:firstLine="708"/>
        <w:rPr>
          <w:lang w:val="en-GB"/>
        </w:rPr>
      </w:pPr>
      <w:r w:rsidRPr="00517534">
        <w:rPr>
          <w:lang w:val="en-GB"/>
        </w:rPr>
        <w:t>B</w:t>
      </w:r>
      <w:r w:rsidR="008C1DE2" w:rsidRPr="00517534">
        <w:rPr>
          <w:lang w:val="en-GB"/>
        </w:rPr>
        <w:t xml:space="preserve">eing Kosovo a traditional society, the gender imbalance is a fundamental trait of basic age pensions. </w:t>
      </w:r>
      <w:r w:rsidR="00B613ED" w:rsidRPr="00517534">
        <w:rPr>
          <w:lang w:val="en-GB"/>
        </w:rPr>
        <w:t>In 2017, t</w:t>
      </w:r>
      <w:r w:rsidR="008C1DE2" w:rsidRPr="00517534">
        <w:rPr>
          <w:lang w:val="en-GB"/>
        </w:rPr>
        <w:t>wo thirds of recipients</w:t>
      </w:r>
      <w:r w:rsidRPr="00517534">
        <w:rPr>
          <w:lang w:val="en-GB"/>
        </w:rPr>
        <w:t xml:space="preserve"> </w:t>
      </w:r>
      <w:r w:rsidR="00B613ED" w:rsidRPr="00517534">
        <w:rPr>
          <w:lang w:val="en-GB"/>
        </w:rPr>
        <w:t>were</w:t>
      </w:r>
      <w:r w:rsidRPr="00517534">
        <w:rPr>
          <w:lang w:val="en-GB"/>
        </w:rPr>
        <w:t xml:space="preserve"> women</w:t>
      </w:r>
      <w:r w:rsidR="00B613ED" w:rsidRPr="00517534">
        <w:rPr>
          <w:lang w:val="en-GB"/>
        </w:rPr>
        <w:t xml:space="preserve"> (66.2 per cent)</w:t>
      </w:r>
      <w:r w:rsidR="008C1DE2" w:rsidRPr="00517534">
        <w:rPr>
          <w:lang w:val="en-GB"/>
        </w:rPr>
        <w:t>, due to short or inexistent contributory histories, compared to just 1</w:t>
      </w:r>
      <w:r w:rsidR="00A1731A" w:rsidRPr="00517534">
        <w:rPr>
          <w:lang w:val="en-GB"/>
        </w:rPr>
        <w:t>3.7</w:t>
      </w:r>
      <w:r w:rsidR="008C1DE2" w:rsidRPr="00517534">
        <w:rPr>
          <w:lang w:val="en-GB"/>
        </w:rPr>
        <w:t xml:space="preserve"> per cent of those entitled to a contributory one</w:t>
      </w:r>
      <w:r w:rsidR="00B613ED" w:rsidRPr="00517534">
        <w:rPr>
          <w:lang w:val="en-GB"/>
        </w:rPr>
        <w:t xml:space="preserve"> (KAS, 2018)</w:t>
      </w:r>
      <w:r w:rsidR="008C1DE2" w:rsidRPr="00517534">
        <w:rPr>
          <w:lang w:val="en-GB"/>
        </w:rPr>
        <w:t xml:space="preserve">. A reform of the basic pillar would hence affect mainly former </w:t>
      </w:r>
      <w:r w:rsidR="00B613ED" w:rsidRPr="00517534">
        <w:rPr>
          <w:lang w:val="en-GB"/>
        </w:rPr>
        <w:t xml:space="preserve">female </w:t>
      </w:r>
      <w:r w:rsidR="008C1DE2" w:rsidRPr="00517534">
        <w:rPr>
          <w:lang w:val="en-GB"/>
        </w:rPr>
        <w:t xml:space="preserve">family workers. </w:t>
      </w:r>
    </w:p>
    <w:p w14:paraId="56B32486" w14:textId="6D3F4836" w:rsidR="008C1DE2" w:rsidRPr="00517534" w:rsidRDefault="008877B7" w:rsidP="002E7F04">
      <w:pPr>
        <w:ind w:firstLine="708"/>
        <w:rPr>
          <w:lang w:val="en-GB"/>
        </w:rPr>
      </w:pPr>
      <w:r w:rsidRPr="00517534">
        <w:rPr>
          <w:lang w:val="en-GB"/>
        </w:rPr>
        <w:t>Next</w:t>
      </w:r>
      <w:r w:rsidR="008C1DE2" w:rsidRPr="00517534">
        <w:rPr>
          <w:lang w:val="en-GB"/>
        </w:rPr>
        <w:t xml:space="preserve">, politics and civil society </w:t>
      </w:r>
      <w:r w:rsidR="00B613ED" w:rsidRPr="00517534">
        <w:rPr>
          <w:lang w:val="en-GB"/>
        </w:rPr>
        <w:t>were</w:t>
      </w:r>
      <w:r w:rsidR="008C1DE2" w:rsidRPr="00517534">
        <w:rPr>
          <w:lang w:val="en-GB"/>
        </w:rPr>
        <w:t xml:space="preserve"> uninterested in the defence of such constituency. On the one hand, </w:t>
      </w:r>
      <w:r w:rsidRPr="00517534">
        <w:rPr>
          <w:lang w:val="en-GB"/>
        </w:rPr>
        <w:t xml:space="preserve">of the </w:t>
      </w:r>
      <w:r w:rsidR="008C1DE2" w:rsidRPr="00517534">
        <w:rPr>
          <w:lang w:val="en-GB"/>
        </w:rPr>
        <w:t>6,000 registered NGOs in Kosovo, the few that are active deal with municipal policy, corruption and environmental issues</w:t>
      </w:r>
      <w:r w:rsidR="00B613ED" w:rsidRPr="00517534">
        <w:rPr>
          <w:lang w:val="en-GB"/>
        </w:rPr>
        <w:t xml:space="preserve"> </w:t>
      </w:r>
      <w:r w:rsidR="008C1DE2" w:rsidRPr="00517534">
        <w:rPr>
          <w:lang w:val="en-GB"/>
        </w:rPr>
        <w:t>(Bertelsmann Stiftung, 2016).</w:t>
      </w:r>
      <w:r w:rsidR="00B613ED" w:rsidRPr="00517534">
        <w:rPr>
          <w:lang w:val="en-GB"/>
        </w:rPr>
        <w:t xml:space="preserve"> Only rare exceptions, such as the Kosovar Stability Initiative, lobby for social policy solutions.</w:t>
      </w:r>
      <w:r w:rsidR="008C1DE2" w:rsidRPr="00517534">
        <w:rPr>
          <w:lang w:val="en-GB"/>
        </w:rPr>
        <w:t xml:space="preserve"> </w:t>
      </w:r>
      <w:r w:rsidRPr="00517534">
        <w:rPr>
          <w:lang w:val="en-GB"/>
        </w:rPr>
        <w:t>On the other hand,</w:t>
      </w:r>
      <w:r w:rsidR="008C1DE2" w:rsidRPr="00517534">
        <w:rPr>
          <w:lang w:val="en-GB"/>
        </w:rPr>
        <w:t xml:space="preserve"> </w:t>
      </w:r>
      <w:r w:rsidRPr="00517534">
        <w:rPr>
          <w:lang w:val="en-GB"/>
        </w:rPr>
        <w:t xml:space="preserve">among </w:t>
      </w:r>
      <w:r w:rsidR="008C1DE2" w:rsidRPr="00517534">
        <w:rPr>
          <w:lang w:val="en-GB"/>
        </w:rPr>
        <w:t xml:space="preserve">the social partners, neither the employers nor trade unions are particularly affected. Labour leaders often are themselves pensioners, who hold the belief that people with no contribution record should not be entitled to public pensions. </w:t>
      </w:r>
      <w:r w:rsidRPr="00517534">
        <w:rPr>
          <w:lang w:val="en-GB"/>
        </w:rPr>
        <w:t>Last but not least</w:t>
      </w:r>
      <w:r w:rsidR="008C1DE2" w:rsidRPr="00517534">
        <w:rPr>
          <w:lang w:val="en-GB"/>
        </w:rPr>
        <w:t xml:space="preserve">, basic pension </w:t>
      </w:r>
      <w:r w:rsidRPr="00517534">
        <w:rPr>
          <w:lang w:val="en-GB"/>
        </w:rPr>
        <w:t xml:space="preserve">recipients </w:t>
      </w:r>
      <w:r w:rsidR="008C1DE2" w:rsidRPr="00517534">
        <w:rPr>
          <w:lang w:val="en-GB"/>
        </w:rPr>
        <w:t xml:space="preserve">do not represent a major </w:t>
      </w:r>
      <w:r w:rsidRPr="00517534">
        <w:rPr>
          <w:lang w:val="en-GB"/>
        </w:rPr>
        <w:t>source of</w:t>
      </w:r>
      <w:r w:rsidR="008C1DE2" w:rsidRPr="00517534">
        <w:rPr>
          <w:lang w:val="en-GB"/>
        </w:rPr>
        <w:t xml:space="preserve"> benefits clientelism</w:t>
      </w:r>
      <w:r w:rsidR="00B613ED" w:rsidRPr="00517534">
        <w:rPr>
          <w:lang w:val="en-GB"/>
        </w:rPr>
        <w:t xml:space="preserve"> for politicians</w:t>
      </w:r>
      <w:r w:rsidR="008C1DE2" w:rsidRPr="00517534">
        <w:rPr>
          <w:lang w:val="en-GB"/>
        </w:rPr>
        <w:t xml:space="preserve">, </w:t>
      </w:r>
      <w:r w:rsidRPr="00517534">
        <w:rPr>
          <w:lang w:val="en-GB"/>
        </w:rPr>
        <w:t xml:space="preserve">in </w:t>
      </w:r>
      <w:r w:rsidR="00B613ED" w:rsidRPr="00517534">
        <w:rPr>
          <w:lang w:val="en-GB"/>
        </w:rPr>
        <w:t>stark</w:t>
      </w:r>
      <w:r w:rsidRPr="00517534">
        <w:rPr>
          <w:lang w:val="en-GB"/>
        </w:rPr>
        <w:t xml:space="preserve"> contrast with</w:t>
      </w:r>
      <w:r w:rsidR="008C1DE2" w:rsidRPr="00517534">
        <w:rPr>
          <w:lang w:val="en-GB"/>
        </w:rPr>
        <w:t xml:space="preserve"> the </w:t>
      </w:r>
      <w:r w:rsidR="00B613ED" w:rsidRPr="00517534">
        <w:rPr>
          <w:lang w:val="en-GB"/>
        </w:rPr>
        <w:t>potential offered by</w:t>
      </w:r>
      <w:r w:rsidR="008C1DE2" w:rsidRPr="00517534">
        <w:rPr>
          <w:lang w:val="en-GB"/>
        </w:rPr>
        <w:t xml:space="preserve"> special schemes.</w:t>
      </w:r>
    </w:p>
    <w:p w14:paraId="318CFE79" w14:textId="77777777" w:rsidR="008C1DE2" w:rsidRPr="00517534" w:rsidRDefault="008C1DE2" w:rsidP="004B5482">
      <w:pPr>
        <w:pStyle w:val="Heading1"/>
      </w:pPr>
      <w:r w:rsidRPr="00517534">
        <w:t>An alternative reform strategy</w:t>
      </w:r>
    </w:p>
    <w:p w14:paraId="090B40FA" w14:textId="12317A49" w:rsidR="008C1DE2" w:rsidRPr="00517534" w:rsidRDefault="008C1DE2" w:rsidP="002E7F04">
      <w:pPr>
        <w:ind w:firstLine="708"/>
        <w:rPr>
          <w:lang w:val="en-GB"/>
        </w:rPr>
      </w:pPr>
      <w:r w:rsidRPr="00517534">
        <w:rPr>
          <w:lang w:val="en-GB"/>
        </w:rPr>
        <w:t xml:space="preserve">The Kosovar pension system </w:t>
      </w:r>
      <w:r w:rsidR="0037423C" w:rsidRPr="00517534">
        <w:rPr>
          <w:lang w:val="en-GB"/>
        </w:rPr>
        <w:t>is far from perfect. Yet, a</w:t>
      </w:r>
      <w:r w:rsidRPr="00517534">
        <w:rPr>
          <w:lang w:val="en-GB"/>
        </w:rPr>
        <w:t>s the IMF notes, most complications are concentrated in special benefit schemes, family and disability pensions</w:t>
      </w:r>
      <w:r w:rsidR="0037423C" w:rsidRPr="00517534">
        <w:rPr>
          <w:lang w:val="en-GB"/>
        </w:rPr>
        <w:t>,</w:t>
      </w:r>
      <w:r w:rsidRPr="00517534">
        <w:rPr>
          <w:lang w:val="en-GB"/>
        </w:rPr>
        <w:t xml:space="preserve"> </w:t>
      </w:r>
      <w:r w:rsidR="0001371F" w:rsidRPr="00517534">
        <w:rPr>
          <w:lang w:val="en-GB"/>
        </w:rPr>
        <w:t xml:space="preserve">whereas </w:t>
      </w:r>
      <w:r w:rsidRPr="00517534">
        <w:rPr>
          <w:lang w:val="en-GB"/>
        </w:rPr>
        <w:t>the zero pillar is</w:t>
      </w:r>
      <w:r w:rsidR="0037423C" w:rsidRPr="00517534">
        <w:rPr>
          <w:lang w:val="en-GB"/>
        </w:rPr>
        <w:t xml:space="preserve"> comparatively</w:t>
      </w:r>
      <w:r w:rsidRPr="00517534">
        <w:rPr>
          <w:lang w:val="en-GB"/>
        </w:rPr>
        <w:t xml:space="preserve"> less problematic. </w:t>
      </w:r>
    </w:p>
    <w:p w14:paraId="0FC86235" w14:textId="03B4809F" w:rsidR="008C1DE2" w:rsidRPr="00517534" w:rsidRDefault="0037423C" w:rsidP="002E7F04">
      <w:pPr>
        <w:ind w:firstLine="708"/>
        <w:rPr>
          <w:lang w:val="en-GB"/>
        </w:rPr>
      </w:pPr>
      <w:r w:rsidRPr="00517534">
        <w:rPr>
          <w:lang w:val="en-GB"/>
        </w:rPr>
        <w:t>A</w:t>
      </w:r>
      <w:r w:rsidR="008C1DE2" w:rsidRPr="00517534">
        <w:rPr>
          <w:lang w:val="en-GB"/>
        </w:rPr>
        <w:t xml:space="preserve"> mixed strategy that tackles the problem on multiple fronts may improve the basic pension’s design efficiency (</w:t>
      </w:r>
      <w:proofErr w:type="spellStart"/>
      <w:r w:rsidR="008C1DE2" w:rsidRPr="00517534">
        <w:rPr>
          <w:lang w:val="en-GB"/>
        </w:rPr>
        <w:t>Robalino</w:t>
      </w:r>
      <w:proofErr w:type="spellEnd"/>
      <w:r w:rsidR="008C1DE2" w:rsidRPr="00517534">
        <w:rPr>
          <w:lang w:val="en-GB"/>
        </w:rPr>
        <w:t xml:space="preserve"> and </w:t>
      </w:r>
      <w:proofErr w:type="spellStart"/>
      <w:r w:rsidR="008C1DE2" w:rsidRPr="00517534">
        <w:rPr>
          <w:lang w:val="en-GB"/>
        </w:rPr>
        <w:t>Holzmann</w:t>
      </w:r>
      <w:proofErr w:type="spellEnd"/>
      <w:r w:rsidR="008C1DE2" w:rsidRPr="00517534">
        <w:rPr>
          <w:lang w:val="en-GB"/>
        </w:rPr>
        <w:t xml:space="preserve">, 2009). </w:t>
      </w:r>
      <w:r w:rsidRPr="00517534">
        <w:rPr>
          <w:lang w:val="en-GB"/>
        </w:rPr>
        <w:t>Willmore (2007) shows that t</w:t>
      </w:r>
      <w:r w:rsidR="008C1DE2" w:rsidRPr="00517534">
        <w:rPr>
          <w:lang w:val="en-GB"/>
        </w:rPr>
        <w:t xml:space="preserve">here are several ways of reducing the costs while preserving universality: </w:t>
      </w:r>
      <w:r w:rsidR="00B917FD" w:rsidRPr="00517534">
        <w:rPr>
          <w:lang w:val="en-GB"/>
        </w:rPr>
        <w:t>taxing pensions</w:t>
      </w:r>
      <w:r w:rsidR="008C1DE2" w:rsidRPr="00517534">
        <w:rPr>
          <w:lang w:val="en-GB"/>
        </w:rPr>
        <w:t xml:space="preserve"> as ordinary income, increasing the pensionable age, reducing the benefit ratio, and </w:t>
      </w:r>
      <w:r w:rsidR="0001371F" w:rsidRPr="00517534">
        <w:rPr>
          <w:lang w:val="en-GB"/>
        </w:rPr>
        <w:t>strengthening</w:t>
      </w:r>
      <w:r w:rsidR="008C1DE2" w:rsidRPr="00517534">
        <w:rPr>
          <w:lang w:val="en-GB"/>
        </w:rPr>
        <w:t xml:space="preserve"> administrative </w:t>
      </w:r>
      <w:r w:rsidR="0001371F" w:rsidRPr="00517534">
        <w:rPr>
          <w:lang w:val="en-GB"/>
        </w:rPr>
        <w:t>capacity</w:t>
      </w:r>
      <w:r w:rsidR="008C1DE2" w:rsidRPr="00517534">
        <w:rPr>
          <w:lang w:val="en-GB"/>
        </w:rPr>
        <w:t xml:space="preserve">. </w:t>
      </w:r>
      <w:r w:rsidR="0001371F" w:rsidRPr="00517534">
        <w:rPr>
          <w:lang w:val="en-GB"/>
        </w:rPr>
        <w:t>Not all are appropriate for the case at hand, but they provide a good starting point for reflection.</w:t>
      </w:r>
    </w:p>
    <w:p w14:paraId="156C4540" w14:textId="77777777" w:rsidR="008C1DE2" w:rsidRPr="00517534" w:rsidRDefault="008C1DE2" w:rsidP="004B5482">
      <w:pPr>
        <w:pStyle w:val="Heading2"/>
        <w:spacing w:line="240" w:lineRule="auto"/>
      </w:pPr>
      <w:r w:rsidRPr="00517534">
        <w:t>Taxation</w:t>
      </w:r>
    </w:p>
    <w:p w14:paraId="75A9725A" w14:textId="5E572D52" w:rsidR="008C1DE2" w:rsidRPr="00517534" w:rsidRDefault="00EB724C" w:rsidP="002E7F04">
      <w:pPr>
        <w:ind w:firstLine="708"/>
        <w:rPr>
          <w:lang w:val="en-GB"/>
        </w:rPr>
      </w:pPr>
      <w:r w:rsidRPr="00517534">
        <w:rPr>
          <w:lang w:val="en-GB"/>
        </w:rPr>
        <w:t>A</w:t>
      </w:r>
      <w:r w:rsidR="008C1DE2" w:rsidRPr="00517534">
        <w:rPr>
          <w:lang w:val="en-GB"/>
        </w:rPr>
        <w:t xml:space="preserve"> way of ensuring both vertical equity and fiscal sustainability is applying a progressive Personal Income Tax (PIT)</w:t>
      </w:r>
      <w:r w:rsidRPr="00517534">
        <w:rPr>
          <w:lang w:val="en-GB"/>
        </w:rPr>
        <w:t xml:space="preserve"> on pensions, as is customary in the Nordic countries</w:t>
      </w:r>
      <w:r w:rsidR="008C1DE2" w:rsidRPr="00517534">
        <w:rPr>
          <w:lang w:val="en-GB"/>
        </w:rPr>
        <w:t xml:space="preserve">. </w:t>
      </w:r>
      <w:r w:rsidRPr="00517534">
        <w:rPr>
          <w:lang w:val="en-GB"/>
        </w:rPr>
        <w:t>R</w:t>
      </w:r>
      <w:r w:rsidR="008C1DE2" w:rsidRPr="00517534">
        <w:rPr>
          <w:lang w:val="en-GB"/>
        </w:rPr>
        <w:t xml:space="preserve">etirees </w:t>
      </w:r>
      <w:r w:rsidR="0044541C" w:rsidRPr="00517534">
        <w:rPr>
          <w:lang w:val="en-GB"/>
        </w:rPr>
        <w:t xml:space="preserve">ought to </w:t>
      </w:r>
      <w:r w:rsidR="008C1DE2" w:rsidRPr="00517534">
        <w:rPr>
          <w:lang w:val="en-GB"/>
        </w:rPr>
        <w:t xml:space="preserve">contribute to the costs, with wealthier pensioners paying proportionally </w:t>
      </w:r>
      <w:r w:rsidRPr="00517534">
        <w:rPr>
          <w:lang w:val="en-GB"/>
        </w:rPr>
        <w:t>more</w:t>
      </w:r>
      <w:r w:rsidR="008C1DE2" w:rsidRPr="00517534">
        <w:rPr>
          <w:lang w:val="en-GB"/>
        </w:rPr>
        <w:t>.</w:t>
      </w:r>
      <w:r w:rsidR="0044541C" w:rsidRPr="00517534">
        <w:rPr>
          <w:lang w:val="en-GB"/>
        </w:rPr>
        <w:t xml:space="preserve"> All sources of income should be similarly treated, thereby sharing the burden of social security among generations, improving vertical and horizontal equity and creating fewer distortions on the labour market.</w:t>
      </w:r>
    </w:p>
    <w:p w14:paraId="695CCEE4" w14:textId="65A5BFA0" w:rsidR="008C1DE2" w:rsidRPr="00517534" w:rsidRDefault="008C1DE2" w:rsidP="002E7F04">
      <w:pPr>
        <w:ind w:firstLine="708"/>
        <w:rPr>
          <w:lang w:val="en-GB"/>
        </w:rPr>
      </w:pPr>
      <w:r w:rsidRPr="00517534">
        <w:rPr>
          <w:lang w:val="en-GB"/>
        </w:rPr>
        <w:t xml:space="preserve">In Kosovo, all social transfers are exempted from PIT. </w:t>
      </w:r>
      <w:proofErr w:type="spellStart"/>
      <w:r w:rsidR="0044541C" w:rsidRPr="00517534">
        <w:rPr>
          <w:lang w:val="en-GB"/>
        </w:rPr>
        <w:t>Feher</w:t>
      </w:r>
      <w:proofErr w:type="spellEnd"/>
      <w:r w:rsidR="0044541C" w:rsidRPr="00517534">
        <w:rPr>
          <w:lang w:val="en-GB"/>
        </w:rPr>
        <w:t xml:space="preserve"> et al. (2016) suggest that, e</w:t>
      </w:r>
      <w:r w:rsidRPr="00517534">
        <w:rPr>
          <w:lang w:val="en-GB"/>
        </w:rPr>
        <w:t>xcept for the neediest, beneficiaries should pay income tax and health contributions.</w:t>
      </w:r>
      <w:r w:rsidR="0044541C" w:rsidRPr="00517534">
        <w:rPr>
          <w:lang w:val="en-GB"/>
        </w:rPr>
        <w:t xml:space="preserve"> </w:t>
      </w:r>
      <w:r w:rsidR="0044541C" w:rsidRPr="00517534">
        <w:rPr>
          <w:lang w:val="en-GB"/>
        </w:rPr>
        <w:lastRenderedPageBreak/>
        <w:t xml:space="preserve">Moreover, </w:t>
      </w:r>
      <w:r w:rsidRPr="00517534">
        <w:rPr>
          <w:lang w:val="en-GB"/>
        </w:rPr>
        <w:t xml:space="preserve">dependent employment or self-employment </w:t>
      </w:r>
      <w:r w:rsidR="0044541C" w:rsidRPr="00517534">
        <w:rPr>
          <w:lang w:val="en-GB"/>
        </w:rPr>
        <w:t>should not be discouraged during retirement</w:t>
      </w:r>
      <w:r w:rsidRPr="00517534">
        <w:rPr>
          <w:lang w:val="en-GB"/>
        </w:rPr>
        <w:t xml:space="preserve">. At the same </w:t>
      </w:r>
      <w:r w:rsidR="00B917FD" w:rsidRPr="00517534">
        <w:rPr>
          <w:lang w:val="en-GB"/>
        </w:rPr>
        <w:t>time,</w:t>
      </w:r>
      <w:r w:rsidRPr="00517534">
        <w:rPr>
          <w:lang w:val="en-GB"/>
        </w:rPr>
        <w:t xml:space="preserve"> </w:t>
      </w:r>
      <w:r w:rsidR="0001371F" w:rsidRPr="00517534">
        <w:rPr>
          <w:lang w:val="en-GB"/>
        </w:rPr>
        <w:t>pensioners</w:t>
      </w:r>
      <w:r w:rsidRPr="00517534">
        <w:rPr>
          <w:lang w:val="en-GB"/>
        </w:rPr>
        <w:t xml:space="preserve"> should be subject to a partial clawback of pension benefits as income rises.</w:t>
      </w:r>
    </w:p>
    <w:p w14:paraId="2879F379" w14:textId="77777777" w:rsidR="008C1DE2" w:rsidRPr="00517534" w:rsidRDefault="008C1DE2" w:rsidP="004B5482">
      <w:pPr>
        <w:pStyle w:val="Heading2"/>
        <w:spacing w:line="240" w:lineRule="auto"/>
      </w:pPr>
      <w:r w:rsidRPr="00517534">
        <w:t>Eligibility</w:t>
      </w:r>
    </w:p>
    <w:p w14:paraId="697E2473" w14:textId="36FBCD27" w:rsidR="008C1DE2" w:rsidRPr="00517534" w:rsidRDefault="008C1DE2" w:rsidP="002E7F04">
      <w:pPr>
        <w:ind w:firstLine="708"/>
        <w:rPr>
          <w:lang w:val="en-GB"/>
        </w:rPr>
      </w:pPr>
      <w:r w:rsidRPr="00517534">
        <w:rPr>
          <w:lang w:val="en-GB"/>
        </w:rPr>
        <w:t xml:space="preserve">An effective way to contain costs and simultaneously increase the adequacy of benefits is raising the statutory retirement age (Barr, 2012). </w:t>
      </w:r>
      <w:r w:rsidR="0044541C" w:rsidRPr="00517534">
        <w:rPr>
          <w:lang w:val="en-GB"/>
        </w:rPr>
        <w:t>A</w:t>
      </w:r>
      <w:r w:rsidRPr="00517534">
        <w:rPr>
          <w:lang w:val="en-GB"/>
        </w:rPr>
        <w:t xml:space="preserve">ge targeting </w:t>
      </w:r>
      <w:r w:rsidR="0044541C" w:rsidRPr="00517534">
        <w:rPr>
          <w:lang w:val="en-GB"/>
        </w:rPr>
        <w:t>has the advantages of</w:t>
      </w:r>
      <w:r w:rsidRPr="00517534">
        <w:rPr>
          <w:lang w:val="en-GB"/>
        </w:rPr>
        <w:t xml:space="preserve"> easy identification and administrative simplicity, important in countries with low implementation capacity. The disadvantages are vertical leakages (benefits flow to people who are not poor), the crowding out of funding to other groups at risk of poverty (e.g. children) and </w:t>
      </w:r>
      <w:proofErr w:type="spellStart"/>
      <w:r w:rsidRPr="00517534">
        <w:rPr>
          <w:lang w:val="en-GB"/>
        </w:rPr>
        <w:t>regressiv</w:t>
      </w:r>
      <w:r w:rsidR="0044541C" w:rsidRPr="00517534">
        <w:rPr>
          <w:lang w:val="en-GB"/>
        </w:rPr>
        <w:t>eness</w:t>
      </w:r>
      <w:proofErr w:type="spellEnd"/>
      <w:r w:rsidRPr="00517534">
        <w:rPr>
          <w:lang w:val="en-GB"/>
        </w:rPr>
        <w:t>, as the poor die younger than the rich.</w:t>
      </w:r>
    </w:p>
    <w:p w14:paraId="5F55FAFF" w14:textId="3A6F79A2" w:rsidR="008C1DE2" w:rsidRPr="00517534" w:rsidRDefault="008C1DE2" w:rsidP="002E7F04">
      <w:pPr>
        <w:ind w:firstLine="708"/>
        <w:rPr>
          <w:lang w:val="en-GB"/>
        </w:rPr>
      </w:pPr>
      <w:r w:rsidRPr="00517534">
        <w:rPr>
          <w:lang w:val="en-GB"/>
        </w:rPr>
        <w:t xml:space="preserve">Despite Kosovo’s population being the youngest in Europe, rapid ageing </w:t>
      </w:r>
      <w:r w:rsidR="0001371F" w:rsidRPr="00517534">
        <w:rPr>
          <w:lang w:val="en-GB"/>
        </w:rPr>
        <w:t xml:space="preserve">and sustained working-age population migration </w:t>
      </w:r>
      <w:r w:rsidRPr="00517534">
        <w:rPr>
          <w:lang w:val="en-GB"/>
        </w:rPr>
        <w:t>pose a challenge in the medium- and longer-term.</w:t>
      </w:r>
      <w:r w:rsidR="0044541C" w:rsidRPr="00517534">
        <w:rPr>
          <w:lang w:val="en-GB"/>
        </w:rPr>
        <w:t xml:space="preserve"> Comparing </w:t>
      </w:r>
      <w:r w:rsidR="0001371F" w:rsidRPr="00517534">
        <w:rPr>
          <w:lang w:val="en-GB"/>
        </w:rPr>
        <w:t xml:space="preserve">the </w:t>
      </w:r>
      <w:r w:rsidR="0044541C" w:rsidRPr="00517534">
        <w:rPr>
          <w:lang w:val="en-GB"/>
        </w:rPr>
        <w:t xml:space="preserve">UN (2015) with KAS (2016) </w:t>
      </w:r>
      <w:r w:rsidR="0001371F" w:rsidRPr="00517534">
        <w:rPr>
          <w:lang w:val="en-GB"/>
        </w:rPr>
        <w:t xml:space="preserve">demographic </w:t>
      </w:r>
      <w:r w:rsidR="0044541C" w:rsidRPr="00517534">
        <w:rPr>
          <w:lang w:val="en-GB"/>
        </w:rPr>
        <w:t xml:space="preserve">predictions, if Kosovo </w:t>
      </w:r>
      <w:r w:rsidR="0001371F" w:rsidRPr="00517534">
        <w:rPr>
          <w:lang w:val="en-GB"/>
        </w:rPr>
        <w:t>is now comparable to other low-income countries</w:t>
      </w:r>
      <w:r w:rsidR="0044541C" w:rsidRPr="00517534">
        <w:rPr>
          <w:lang w:val="en-GB"/>
        </w:rPr>
        <w:t xml:space="preserve">, it </w:t>
      </w:r>
      <w:r w:rsidR="0001371F" w:rsidRPr="00517534">
        <w:rPr>
          <w:lang w:val="en-GB"/>
        </w:rPr>
        <w:t xml:space="preserve">will </w:t>
      </w:r>
      <w:r w:rsidR="0044541C" w:rsidRPr="00517534">
        <w:rPr>
          <w:lang w:val="en-GB"/>
        </w:rPr>
        <w:t xml:space="preserve">converge to </w:t>
      </w:r>
      <w:r w:rsidR="00C5131A" w:rsidRPr="00517534">
        <w:rPr>
          <w:lang w:val="en-GB"/>
        </w:rPr>
        <w:t>higher-income</w:t>
      </w:r>
      <w:r w:rsidR="0044541C" w:rsidRPr="00517534">
        <w:rPr>
          <w:lang w:val="en-GB"/>
        </w:rPr>
        <w:t xml:space="preserve"> countries </w:t>
      </w:r>
      <w:r w:rsidR="00F84353" w:rsidRPr="00517534">
        <w:rPr>
          <w:lang w:val="en-GB"/>
        </w:rPr>
        <w:t>in just three decades</w:t>
      </w:r>
      <w:r w:rsidR="0001371F" w:rsidRPr="00517534">
        <w:rPr>
          <w:lang w:val="en-GB"/>
        </w:rPr>
        <w:t>. The population aged 65 and over on the total will climb between 2015 and 2050 from 8.0 per cent (comparable to the 6.4 per cent in less developed countries during the same year) to 22.8 per cent (closer to the 26.5 per cent of more developed countries predicted for 2050).</w:t>
      </w:r>
    </w:p>
    <w:p w14:paraId="703B1925" w14:textId="4E7C4D3E" w:rsidR="008C1DE2" w:rsidRPr="00517534" w:rsidRDefault="00F84353" w:rsidP="002E7F04">
      <w:pPr>
        <w:ind w:firstLine="708"/>
        <w:rPr>
          <w:lang w:val="en-GB"/>
        </w:rPr>
      </w:pPr>
      <w:r w:rsidRPr="00517534">
        <w:rPr>
          <w:lang w:val="en-GB"/>
        </w:rPr>
        <w:t xml:space="preserve">One solution, favoured by an increasing number of European countries (European Commission, 2018), </w:t>
      </w:r>
      <w:r w:rsidR="008C1DE2" w:rsidRPr="00517534">
        <w:rPr>
          <w:lang w:val="en-GB"/>
        </w:rPr>
        <w:t>is to link the statutory retirement age to life expectancy</w:t>
      </w:r>
      <w:r w:rsidR="00206D68" w:rsidRPr="00517534">
        <w:rPr>
          <w:lang w:val="en-GB"/>
        </w:rPr>
        <w:t>,</w:t>
      </w:r>
      <w:r w:rsidR="008C1DE2" w:rsidRPr="00517534">
        <w:rPr>
          <w:lang w:val="en-GB"/>
        </w:rPr>
        <w:t xml:space="preserve"> provided that the labour markets are ready to </w:t>
      </w:r>
      <w:r w:rsidR="00206D68" w:rsidRPr="00517534">
        <w:rPr>
          <w:lang w:val="en-GB"/>
        </w:rPr>
        <w:t>employ an ageing labour force</w:t>
      </w:r>
      <w:r w:rsidR="008C1DE2" w:rsidRPr="00517534">
        <w:rPr>
          <w:lang w:val="en-GB"/>
        </w:rPr>
        <w:t>.</w:t>
      </w:r>
    </w:p>
    <w:p w14:paraId="2640A4EB" w14:textId="77777777" w:rsidR="008C1DE2" w:rsidRPr="00517534" w:rsidRDefault="008C1DE2" w:rsidP="004B5482">
      <w:pPr>
        <w:pStyle w:val="Heading2"/>
        <w:spacing w:line="240" w:lineRule="auto"/>
      </w:pPr>
      <w:r w:rsidRPr="00517534">
        <w:t>Benefits</w:t>
      </w:r>
    </w:p>
    <w:p w14:paraId="38AFBF47" w14:textId="1F1E9C0C" w:rsidR="008C1DE2" w:rsidRPr="00517534" w:rsidRDefault="0094331D" w:rsidP="002E7F04">
      <w:pPr>
        <w:ind w:firstLine="708"/>
        <w:rPr>
          <w:lang w:val="en-GB"/>
        </w:rPr>
      </w:pPr>
      <w:r w:rsidRPr="00517534">
        <w:rPr>
          <w:lang w:val="en-GB"/>
        </w:rPr>
        <w:t>As t</w:t>
      </w:r>
      <w:r w:rsidR="008C1DE2" w:rsidRPr="00517534">
        <w:rPr>
          <w:lang w:val="en-GB"/>
        </w:rPr>
        <w:t>he Kosovar basic age pension</w:t>
      </w:r>
      <w:r w:rsidR="00AA36C1" w:rsidRPr="00517534">
        <w:rPr>
          <w:lang w:val="en-GB"/>
        </w:rPr>
        <w:t xml:space="preserve">’s benefits are only </w:t>
      </w:r>
      <w:r w:rsidR="008C1DE2" w:rsidRPr="00517534">
        <w:rPr>
          <w:lang w:val="en-GB"/>
        </w:rPr>
        <w:t>slightly higher than the recommended 15-20 per cent of per capita GDP</w:t>
      </w:r>
      <w:r w:rsidR="00AA36C1" w:rsidRPr="00517534">
        <w:rPr>
          <w:lang w:val="en-GB"/>
        </w:rPr>
        <w:t>, it</w:t>
      </w:r>
      <w:r w:rsidR="008C1DE2" w:rsidRPr="00517534">
        <w:rPr>
          <w:lang w:val="en-GB"/>
        </w:rPr>
        <w:t xml:space="preserve"> is rather the other special pension schemes and inefficient disability assessment procedures that should be addressed first. </w:t>
      </w:r>
      <w:r w:rsidR="00AA36C1" w:rsidRPr="00517534">
        <w:rPr>
          <w:lang w:val="en-GB"/>
        </w:rPr>
        <w:t>Systematic indexation should substitute</w:t>
      </w:r>
      <w:r w:rsidR="00AA36C1" w:rsidRPr="00517534">
        <w:rPr>
          <w:i/>
          <w:iCs/>
          <w:lang w:val="en-GB"/>
        </w:rPr>
        <w:t xml:space="preserve"> ad</w:t>
      </w:r>
      <w:r w:rsidR="008C1DE2" w:rsidRPr="00517534">
        <w:rPr>
          <w:i/>
          <w:iCs/>
          <w:lang w:val="en-GB"/>
        </w:rPr>
        <w:t xml:space="preserve"> hoc</w:t>
      </w:r>
      <w:r w:rsidR="008C1DE2" w:rsidRPr="00517534">
        <w:rPr>
          <w:lang w:val="en-GB"/>
        </w:rPr>
        <w:t xml:space="preserve"> increases </w:t>
      </w:r>
      <w:r w:rsidR="00AA36C1" w:rsidRPr="00517534">
        <w:rPr>
          <w:lang w:val="en-GB"/>
        </w:rPr>
        <w:t>for all budget-financed benefits</w:t>
      </w:r>
      <w:r w:rsidR="008C1DE2" w:rsidRPr="00517534">
        <w:rPr>
          <w:lang w:val="en-GB"/>
        </w:rPr>
        <w:t>.</w:t>
      </w:r>
    </w:p>
    <w:p w14:paraId="4949D58B" w14:textId="5E4C478B" w:rsidR="008C1DE2" w:rsidRPr="00517534" w:rsidRDefault="00AA36C1" w:rsidP="002E7F04">
      <w:pPr>
        <w:ind w:firstLine="708"/>
        <w:rPr>
          <w:lang w:val="en-GB"/>
        </w:rPr>
      </w:pPr>
      <w:r w:rsidRPr="00517534">
        <w:rPr>
          <w:lang w:val="en-GB"/>
        </w:rPr>
        <w:t xml:space="preserve">In the future, the adequacy of basic pensions should be addressed, as </w:t>
      </w:r>
      <w:r w:rsidR="008C1DE2" w:rsidRPr="00517534">
        <w:rPr>
          <w:lang w:val="en-GB"/>
        </w:rPr>
        <w:t xml:space="preserve">the recipients’ general perception </w:t>
      </w:r>
      <w:r w:rsidRPr="00517534">
        <w:rPr>
          <w:lang w:val="en-GB"/>
        </w:rPr>
        <w:t xml:space="preserve">is that benefits are </w:t>
      </w:r>
      <w:r w:rsidR="008C1DE2" w:rsidRPr="00517534">
        <w:rPr>
          <w:lang w:val="en-GB"/>
        </w:rPr>
        <w:t xml:space="preserve">modest compared to the costs of living. </w:t>
      </w:r>
      <w:r w:rsidRPr="00517534">
        <w:rPr>
          <w:lang w:val="en-GB"/>
        </w:rPr>
        <w:t>Compatibly with budgetary capacity, t</w:t>
      </w:r>
      <w:r w:rsidR="008C1DE2" w:rsidRPr="00517534">
        <w:rPr>
          <w:lang w:val="en-GB"/>
        </w:rPr>
        <w:t>he pension system shall play a prominent role in poverty alleviation</w:t>
      </w:r>
      <w:r w:rsidRPr="00517534">
        <w:rPr>
          <w:lang w:val="en-GB"/>
        </w:rPr>
        <w:t xml:space="preserve"> (circa 29.7 per cent of the population lived under the national poverty threshold in 2011, according to World Bank data)</w:t>
      </w:r>
      <w:r w:rsidR="008C1DE2" w:rsidRPr="00517534">
        <w:rPr>
          <w:lang w:val="en-GB"/>
        </w:rPr>
        <w:t>, once its</w:t>
      </w:r>
      <w:r w:rsidRPr="00517534">
        <w:rPr>
          <w:lang w:val="en-GB"/>
        </w:rPr>
        <w:t xml:space="preserve"> major</w:t>
      </w:r>
      <w:r w:rsidR="008C1DE2" w:rsidRPr="00517534">
        <w:rPr>
          <w:lang w:val="en-GB"/>
        </w:rPr>
        <w:t xml:space="preserve"> problems are resolved. </w:t>
      </w:r>
    </w:p>
    <w:p w14:paraId="30920BAA" w14:textId="77777777" w:rsidR="008C1DE2" w:rsidRPr="00517534" w:rsidRDefault="008C1DE2" w:rsidP="004B5482">
      <w:pPr>
        <w:pStyle w:val="Heading2"/>
        <w:spacing w:line="240" w:lineRule="auto"/>
      </w:pPr>
      <w:r w:rsidRPr="00517534">
        <w:t>Administration</w:t>
      </w:r>
    </w:p>
    <w:p w14:paraId="6DD64E40" w14:textId="1A64D524" w:rsidR="008C1DE2" w:rsidRPr="00517534" w:rsidRDefault="00065686" w:rsidP="002E7F04">
      <w:pPr>
        <w:ind w:firstLine="708"/>
        <w:rPr>
          <w:lang w:val="en-GB"/>
        </w:rPr>
      </w:pPr>
      <w:r w:rsidRPr="00517534">
        <w:rPr>
          <w:lang w:val="en-GB"/>
        </w:rPr>
        <w:t>I</w:t>
      </w:r>
      <w:r w:rsidR="008C1DE2" w:rsidRPr="00517534">
        <w:rPr>
          <w:lang w:val="en-GB"/>
        </w:rPr>
        <w:t>mprov</w:t>
      </w:r>
      <w:r w:rsidRPr="00517534">
        <w:rPr>
          <w:lang w:val="en-GB"/>
        </w:rPr>
        <w:t>ing</w:t>
      </w:r>
      <w:r w:rsidR="008C1DE2" w:rsidRPr="00517534">
        <w:rPr>
          <w:lang w:val="en-GB"/>
        </w:rPr>
        <w:t xml:space="preserve"> the efficiency of the Kosovar pension system </w:t>
      </w:r>
      <w:r w:rsidRPr="00517534">
        <w:rPr>
          <w:lang w:val="en-GB"/>
        </w:rPr>
        <w:t xml:space="preserve">may require </w:t>
      </w:r>
      <w:r w:rsidR="008C1DE2" w:rsidRPr="00517534">
        <w:rPr>
          <w:lang w:val="en-GB"/>
        </w:rPr>
        <w:t>stricter residency requirements (partly introduced in the amendment to Law no. 04/l-131) and a consolidated social security database (</w:t>
      </w:r>
      <w:r w:rsidRPr="00517534">
        <w:rPr>
          <w:lang w:val="en-GB"/>
        </w:rPr>
        <w:t xml:space="preserve">instead of </w:t>
      </w:r>
      <w:r w:rsidR="008C1DE2" w:rsidRPr="00517534">
        <w:rPr>
          <w:lang w:val="en-GB"/>
        </w:rPr>
        <w:t>duplicati</w:t>
      </w:r>
      <w:r w:rsidR="00F41E72">
        <w:rPr>
          <w:lang w:val="en-GB"/>
        </w:rPr>
        <w:t>ng</w:t>
      </w:r>
      <w:r w:rsidRPr="00517534">
        <w:rPr>
          <w:lang w:val="en-GB"/>
        </w:rPr>
        <w:t xml:space="preserve"> capacity).</w:t>
      </w:r>
      <w:r w:rsidR="008C1DE2" w:rsidRPr="00517534">
        <w:rPr>
          <w:lang w:val="en-GB"/>
        </w:rPr>
        <w:t xml:space="preserve"> </w:t>
      </w:r>
    </w:p>
    <w:p w14:paraId="5184D0C1" w14:textId="2747C4AB" w:rsidR="008C1DE2" w:rsidRPr="00517534" w:rsidRDefault="00065686" w:rsidP="002E7F04">
      <w:pPr>
        <w:ind w:firstLine="708"/>
        <w:rPr>
          <w:lang w:val="en-GB"/>
        </w:rPr>
      </w:pPr>
      <w:r w:rsidRPr="00517534">
        <w:rPr>
          <w:lang w:val="en-GB"/>
        </w:rPr>
        <w:t>The IMF estimates that</w:t>
      </w:r>
      <w:r w:rsidR="008C1DE2" w:rsidRPr="00517534">
        <w:rPr>
          <w:lang w:val="en-GB"/>
        </w:rPr>
        <w:t xml:space="preserve"> </w:t>
      </w:r>
      <w:r w:rsidRPr="00517534">
        <w:rPr>
          <w:lang w:val="en-GB"/>
        </w:rPr>
        <w:t xml:space="preserve">one </w:t>
      </w:r>
      <w:r w:rsidR="008C1DE2" w:rsidRPr="00517534">
        <w:rPr>
          <w:lang w:val="en-GB"/>
        </w:rPr>
        <w:t xml:space="preserve">fifth of </w:t>
      </w:r>
      <w:r w:rsidRPr="00517534">
        <w:rPr>
          <w:lang w:val="en-GB"/>
        </w:rPr>
        <w:t xml:space="preserve">persons aged 65 or above </w:t>
      </w:r>
      <w:r w:rsidR="008C1DE2" w:rsidRPr="00517534">
        <w:rPr>
          <w:lang w:val="en-GB"/>
        </w:rPr>
        <w:t xml:space="preserve">are unlawfully receiving the basic pension. </w:t>
      </w:r>
      <w:r w:rsidRPr="00517534">
        <w:rPr>
          <w:lang w:val="en-GB"/>
        </w:rPr>
        <w:t>There are</w:t>
      </w:r>
      <w:r w:rsidR="008C1DE2" w:rsidRPr="00517534">
        <w:rPr>
          <w:lang w:val="en-GB"/>
        </w:rPr>
        <w:t xml:space="preserve"> four possible causes: individuals claiming both basic and contributory benefits; unreliable population estimates based on the 2011 census; non-declaration of deaths; flaws in the concept of residency, both for benefit eligibility and for the census</w:t>
      </w:r>
      <w:r w:rsidRPr="00517534">
        <w:rPr>
          <w:lang w:val="en-GB"/>
        </w:rPr>
        <w:t xml:space="preserve"> (</w:t>
      </w:r>
      <w:proofErr w:type="spellStart"/>
      <w:r w:rsidRPr="00517534">
        <w:rPr>
          <w:lang w:val="en-GB"/>
        </w:rPr>
        <w:t>Feher</w:t>
      </w:r>
      <w:proofErr w:type="spellEnd"/>
      <w:r w:rsidRPr="00517534">
        <w:rPr>
          <w:lang w:val="en-GB"/>
        </w:rPr>
        <w:t xml:space="preserve"> et al., 2016)</w:t>
      </w:r>
      <w:r w:rsidR="008C1DE2" w:rsidRPr="00517534">
        <w:rPr>
          <w:lang w:val="en-GB"/>
        </w:rPr>
        <w:t>.</w:t>
      </w:r>
    </w:p>
    <w:p w14:paraId="6F495E57" w14:textId="18E3031A" w:rsidR="008C1DE2" w:rsidRPr="00517534" w:rsidRDefault="00065686" w:rsidP="002E7F04">
      <w:pPr>
        <w:ind w:firstLine="708"/>
        <w:rPr>
          <w:lang w:val="en-GB"/>
        </w:rPr>
      </w:pPr>
      <w:r w:rsidRPr="00517534">
        <w:rPr>
          <w:lang w:val="en-GB"/>
        </w:rPr>
        <w:t>Thus</w:t>
      </w:r>
      <w:r w:rsidR="008C1DE2" w:rsidRPr="00517534">
        <w:rPr>
          <w:lang w:val="en-GB"/>
        </w:rPr>
        <w:t xml:space="preserve">, residency requirements should be </w:t>
      </w:r>
      <w:r w:rsidRPr="00517534">
        <w:rPr>
          <w:lang w:val="en-GB"/>
        </w:rPr>
        <w:t>better</w:t>
      </w:r>
      <w:r w:rsidR="008C1DE2" w:rsidRPr="00517534">
        <w:rPr>
          <w:lang w:val="en-GB"/>
        </w:rPr>
        <w:t xml:space="preserve"> enforced. </w:t>
      </w:r>
      <w:r w:rsidRPr="00517534">
        <w:rPr>
          <w:lang w:val="en-GB"/>
        </w:rPr>
        <w:t xml:space="preserve">One solution is that </w:t>
      </w:r>
      <w:r w:rsidR="008C1DE2" w:rsidRPr="00517534">
        <w:rPr>
          <w:lang w:val="en-GB"/>
        </w:rPr>
        <w:t xml:space="preserve">recipients </w:t>
      </w:r>
      <w:r w:rsidRPr="00517534">
        <w:rPr>
          <w:lang w:val="en-GB"/>
        </w:rPr>
        <w:t xml:space="preserve">turn up at </w:t>
      </w:r>
      <w:r w:rsidR="008C1DE2" w:rsidRPr="00517534">
        <w:rPr>
          <w:lang w:val="en-GB"/>
        </w:rPr>
        <w:t>the designated government agencies</w:t>
      </w:r>
      <w:r w:rsidRPr="00517534">
        <w:rPr>
          <w:lang w:val="en-GB"/>
        </w:rPr>
        <w:t xml:space="preserve"> more often</w:t>
      </w:r>
      <w:r w:rsidR="008C1DE2" w:rsidRPr="00517534">
        <w:rPr>
          <w:lang w:val="en-GB"/>
        </w:rPr>
        <w:t xml:space="preserve">, lest they trigger a suspension of benefit disbursement, and that retroactive collection of benefits should be limited. </w:t>
      </w:r>
      <w:r w:rsidRPr="00517534">
        <w:rPr>
          <w:lang w:val="en-GB"/>
        </w:rPr>
        <w:t xml:space="preserve">Additionally, </w:t>
      </w:r>
      <w:r w:rsidR="008C1DE2" w:rsidRPr="00517534">
        <w:rPr>
          <w:lang w:val="en-GB"/>
        </w:rPr>
        <w:t xml:space="preserve">religious communities </w:t>
      </w:r>
      <w:r w:rsidRPr="00517534">
        <w:rPr>
          <w:lang w:val="en-GB"/>
        </w:rPr>
        <w:t>should</w:t>
      </w:r>
      <w:r w:rsidR="008C1DE2" w:rsidRPr="00517534">
        <w:rPr>
          <w:lang w:val="en-GB"/>
        </w:rPr>
        <w:t xml:space="preserve"> report all burials, thereby enabling the immediate de-registration of </w:t>
      </w:r>
      <w:r w:rsidRPr="00517534">
        <w:rPr>
          <w:lang w:val="en-GB"/>
        </w:rPr>
        <w:t>the</w:t>
      </w:r>
      <w:r w:rsidR="008C1DE2" w:rsidRPr="00517534">
        <w:rPr>
          <w:lang w:val="en-GB"/>
        </w:rPr>
        <w:t xml:space="preserve"> deceased from the lists of recipients (</w:t>
      </w:r>
      <w:r w:rsidR="00B63340" w:rsidRPr="00517534">
        <w:rPr>
          <w:lang w:val="en-GB"/>
        </w:rPr>
        <w:t>KSI</w:t>
      </w:r>
      <w:r w:rsidR="008C1DE2" w:rsidRPr="00517534">
        <w:rPr>
          <w:lang w:val="en-GB"/>
        </w:rPr>
        <w:t xml:space="preserve">, 2016). </w:t>
      </w:r>
    </w:p>
    <w:p w14:paraId="6CB534D3" w14:textId="3D95E49F" w:rsidR="008C1DE2" w:rsidRPr="00517534" w:rsidRDefault="00C5131A" w:rsidP="002E7F04">
      <w:pPr>
        <w:ind w:firstLine="708"/>
        <w:rPr>
          <w:lang w:val="en-GB"/>
        </w:rPr>
      </w:pPr>
      <w:r w:rsidRPr="00517534">
        <w:rPr>
          <w:lang w:val="en-GB"/>
        </w:rPr>
        <w:t>Next</w:t>
      </w:r>
      <w:r w:rsidR="008C1DE2" w:rsidRPr="00517534">
        <w:rPr>
          <w:lang w:val="en-GB"/>
        </w:rPr>
        <w:t xml:space="preserve">, the gradual integration of all social security payments, checks and tests with the tax administration </w:t>
      </w:r>
      <w:r w:rsidRPr="00517534">
        <w:rPr>
          <w:lang w:val="en-GB"/>
        </w:rPr>
        <w:t xml:space="preserve">would reduce administrative costs of the pension system. There is no lack </w:t>
      </w:r>
      <w:r w:rsidRPr="00517534">
        <w:rPr>
          <w:lang w:val="en-GB"/>
        </w:rPr>
        <w:lastRenderedPageBreak/>
        <w:t xml:space="preserve">of examples where to find inspiration, as the consolidation trend </w:t>
      </w:r>
      <w:r w:rsidR="008C1DE2" w:rsidRPr="00517534">
        <w:rPr>
          <w:lang w:val="en-GB"/>
        </w:rPr>
        <w:t>in developing countries</w:t>
      </w:r>
      <w:r w:rsidRPr="00517534">
        <w:rPr>
          <w:lang w:val="en-GB"/>
        </w:rPr>
        <w:t xml:space="preserve"> shows</w:t>
      </w:r>
      <w:r w:rsidR="008C1DE2" w:rsidRPr="00517534">
        <w:rPr>
          <w:lang w:val="en-GB"/>
        </w:rPr>
        <w:t xml:space="preserve">. </w:t>
      </w:r>
    </w:p>
    <w:p w14:paraId="7EB8815A" w14:textId="468BCDE0" w:rsidR="008C1DE2" w:rsidRPr="00517534" w:rsidRDefault="00C5131A" w:rsidP="002E7F04">
      <w:pPr>
        <w:ind w:firstLine="708"/>
        <w:rPr>
          <w:lang w:val="en-GB"/>
        </w:rPr>
      </w:pPr>
      <w:r w:rsidRPr="00517534">
        <w:rPr>
          <w:lang w:val="en-GB"/>
        </w:rPr>
        <w:t>Again, the Nordics, provide excellent solutions. A</w:t>
      </w:r>
      <w:r w:rsidR="008C1DE2" w:rsidRPr="00517534">
        <w:rPr>
          <w:lang w:val="en-GB"/>
        </w:rPr>
        <w:t xml:space="preserve"> consolidated database of budget-financed cash transfers for individuals and households as well as of recipients, through the introduction of, e.g. a Danish-inspired Personal Identification Number (</w:t>
      </w:r>
      <w:r w:rsidR="008C1DE2" w:rsidRPr="00517534">
        <w:rPr>
          <w:i/>
          <w:lang w:val="en-GB"/>
        </w:rPr>
        <w:t>CPR-</w:t>
      </w:r>
      <w:proofErr w:type="spellStart"/>
      <w:r w:rsidR="008C1DE2" w:rsidRPr="00517534">
        <w:rPr>
          <w:i/>
          <w:lang w:val="en-GB"/>
        </w:rPr>
        <w:t>nummer</w:t>
      </w:r>
      <w:proofErr w:type="spellEnd"/>
      <w:r w:rsidR="008C1DE2" w:rsidRPr="00517534">
        <w:rPr>
          <w:lang w:val="en-GB"/>
        </w:rPr>
        <w:t xml:space="preserve">) </w:t>
      </w:r>
      <w:r w:rsidRPr="00517534">
        <w:rPr>
          <w:lang w:val="en-GB"/>
        </w:rPr>
        <w:t>c</w:t>
      </w:r>
      <w:r w:rsidR="008C1DE2" w:rsidRPr="00517534">
        <w:rPr>
          <w:lang w:val="en-GB"/>
        </w:rPr>
        <w:t>ould be complemented by automated data exchange between the benefit database, the tax authority and financial service providers licensed to execute money transfers benefitting natural persons (</w:t>
      </w:r>
      <w:proofErr w:type="spellStart"/>
      <w:r w:rsidR="008C1DE2" w:rsidRPr="00517534">
        <w:rPr>
          <w:lang w:val="en-GB"/>
        </w:rPr>
        <w:t>Feher</w:t>
      </w:r>
      <w:proofErr w:type="spellEnd"/>
      <w:r w:rsidR="005A3D02" w:rsidRPr="00517534">
        <w:rPr>
          <w:lang w:val="en-GB"/>
        </w:rPr>
        <w:t xml:space="preserve"> et al.</w:t>
      </w:r>
      <w:r w:rsidR="008C1DE2" w:rsidRPr="00517534">
        <w:rPr>
          <w:lang w:val="en-GB"/>
        </w:rPr>
        <w:t xml:space="preserve">, 2016). This would serve the double purpose of reducing overall administrative </w:t>
      </w:r>
      <w:r w:rsidR="00B63340" w:rsidRPr="00517534">
        <w:rPr>
          <w:lang w:val="en-GB"/>
        </w:rPr>
        <w:t>costs and</w:t>
      </w:r>
      <w:r w:rsidR="008C1DE2" w:rsidRPr="00517534">
        <w:rPr>
          <w:lang w:val="en-GB"/>
        </w:rPr>
        <w:t xml:space="preserve"> limiting the fruition of mutually incompatible benefits.</w:t>
      </w:r>
    </w:p>
    <w:p w14:paraId="07475FE5" w14:textId="77777777" w:rsidR="008C1DE2" w:rsidRPr="00517534" w:rsidRDefault="008C1DE2" w:rsidP="004B5482">
      <w:pPr>
        <w:pStyle w:val="Heading1"/>
      </w:pPr>
      <w:r w:rsidRPr="00517534">
        <w:t>Conclusions</w:t>
      </w:r>
    </w:p>
    <w:p w14:paraId="583693F4" w14:textId="33C7E779" w:rsidR="008C1DE2" w:rsidRPr="00517534" w:rsidRDefault="00517534" w:rsidP="002E7F04">
      <w:pPr>
        <w:ind w:firstLine="708"/>
        <w:rPr>
          <w:lang w:val="en-GB"/>
        </w:rPr>
      </w:pPr>
      <w:r w:rsidRPr="00517534">
        <w:rPr>
          <w:lang w:val="en-GB"/>
        </w:rPr>
        <w:t xml:space="preserve">Kosovo is a textbook example of </w:t>
      </w:r>
      <w:r w:rsidR="008C1DE2" w:rsidRPr="00517534">
        <w:rPr>
          <w:lang w:val="en-GB"/>
        </w:rPr>
        <w:t xml:space="preserve">the </w:t>
      </w:r>
      <w:proofErr w:type="spellStart"/>
      <w:r w:rsidR="008C1DE2" w:rsidRPr="00517534">
        <w:rPr>
          <w:lang w:val="en-GB"/>
        </w:rPr>
        <w:t>clientelistic</w:t>
      </w:r>
      <w:proofErr w:type="spellEnd"/>
      <w:r w:rsidR="008C1DE2" w:rsidRPr="00517534">
        <w:rPr>
          <w:lang w:val="en-GB"/>
        </w:rPr>
        <w:t xml:space="preserve"> party competition </w:t>
      </w:r>
      <w:r w:rsidRPr="00517534">
        <w:rPr>
          <w:lang w:val="en-GB"/>
        </w:rPr>
        <w:t xml:space="preserve">found </w:t>
      </w:r>
      <w:r w:rsidR="008C1DE2" w:rsidRPr="00517534">
        <w:rPr>
          <w:lang w:val="en-GB"/>
        </w:rPr>
        <w:t xml:space="preserve">in </w:t>
      </w:r>
      <w:r w:rsidRPr="00517534">
        <w:rPr>
          <w:lang w:val="en-GB"/>
        </w:rPr>
        <w:t xml:space="preserve">the </w:t>
      </w:r>
      <w:r w:rsidR="008C1DE2" w:rsidRPr="00517534">
        <w:rPr>
          <w:lang w:val="en-GB"/>
        </w:rPr>
        <w:t>Mediterranean welfare regime</w:t>
      </w:r>
      <w:r w:rsidRPr="00517534">
        <w:rPr>
          <w:lang w:val="en-GB"/>
        </w:rPr>
        <w:t>.</w:t>
      </w:r>
      <w:r w:rsidR="008C1DE2" w:rsidRPr="00517534">
        <w:rPr>
          <w:lang w:val="en-GB"/>
        </w:rPr>
        <w:t xml:space="preserve"> </w:t>
      </w:r>
      <w:r w:rsidRPr="00517534">
        <w:rPr>
          <w:lang w:val="en-GB"/>
        </w:rPr>
        <w:t>Its</w:t>
      </w:r>
      <w:r w:rsidR="008C1DE2" w:rsidRPr="00517534">
        <w:rPr>
          <w:lang w:val="en-GB"/>
        </w:rPr>
        <w:t xml:space="preserve"> budget-financed pension system has undergone steady fragmentation since the international community relinquished authority to local politicians. </w:t>
      </w:r>
      <w:r>
        <w:rPr>
          <w:lang w:val="en-GB"/>
        </w:rPr>
        <w:t>Whereas</w:t>
      </w:r>
      <w:r w:rsidR="008C1DE2" w:rsidRPr="00517534">
        <w:rPr>
          <w:lang w:val="en-GB"/>
        </w:rPr>
        <w:t xml:space="preserve"> the original design espoused universalism as its defining feature, since 2008, a host of special schemes has sprung up, especially favouring the war veterans. </w:t>
      </w:r>
    </w:p>
    <w:p w14:paraId="40D6E795" w14:textId="7BB707BC" w:rsidR="008C1DE2" w:rsidRPr="00517534" w:rsidRDefault="00AA2137" w:rsidP="000173A2">
      <w:pPr>
        <w:ind w:firstLine="708"/>
        <w:rPr>
          <w:lang w:val="en-GB"/>
        </w:rPr>
      </w:pPr>
      <w:r>
        <w:rPr>
          <w:lang w:val="en-GB"/>
        </w:rPr>
        <w:t xml:space="preserve">As the </w:t>
      </w:r>
      <w:r w:rsidR="008C1DE2" w:rsidRPr="00517534">
        <w:rPr>
          <w:lang w:val="en-GB"/>
        </w:rPr>
        <w:t>inequitable plans</w:t>
      </w:r>
      <w:r>
        <w:rPr>
          <w:lang w:val="en-GB"/>
        </w:rPr>
        <w:t xml:space="preserve"> </w:t>
      </w:r>
      <w:r w:rsidR="000173A2">
        <w:rPr>
          <w:lang w:val="en-GB"/>
        </w:rPr>
        <w:t>are costly</w:t>
      </w:r>
      <w:r w:rsidR="008C1DE2" w:rsidRPr="00517534">
        <w:rPr>
          <w:lang w:val="en-GB"/>
        </w:rPr>
        <w:t xml:space="preserve">, the Labour Ministry planned to free up fiscal resources by </w:t>
      </w:r>
      <w:r w:rsidR="000173A2">
        <w:rPr>
          <w:lang w:val="en-GB"/>
        </w:rPr>
        <w:t xml:space="preserve">partly overhauling </w:t>
      </w:r>
      <w:r w:rsidR="008C1DE2" w:rsidRPr="00517534">
        <w:rPr>
          <w:lang w:val="en-GB"/>
        </w:rPr>
        <w:t>the basic age pension. Due to its universalistic character, which reduces the potential for benefits clientelism, as well as low political and societal sali</w:t>
      </w:r>
      <w:r w:rsidR="005A3D02" w:rsidRPr="00517534">
        <w:rPr>
          <w:lang w:val="en-GB"/>
        </w:rPr>
        <w:t xml:space="preserve">ence, the scheme represented a </w:t>
      </w:r>
      <w:r w:rsidR="008C1DE2" w:rsidRPr="00517534">
        <w:rPr>
          <w:i/>
          <w:lang w:val="en-GB"/>
        </w:rPr>
        <w:t>path of least resistance</w:t>
      </w:r>
      <w:r w:rsidR="008C1DE2" w:rsidRPr="00517534">
        <w:rPr>
          <w:lang w:val="en-GB"/>
        </w:rPr>
        <w:t xml:space="preserve"> for retrenchment. </w:t>
      </w:r>
    </w:p>
    <w:p w14:paraId="1C0FDB32" w14:textId="2704639E" w:rsidR="005A3D02" w:rsidRDefault="000173A2" w:rsidP="000173A2">
      <w:pPr>
        <w:ind w:firstLine="708"/>
        <w:rPr>
          <w:lang w:val="en-GB"/>
        </w:rPr>
      </w:pPr>
      <w:r>
        <w:rPr>
          <w:lang w:val="en-GB"/>
        </w:rPr>
        <w:t>By end of 2018, the worst seems to have been avoided, as the Ministry’s proposals have not had a follow-up. A number of domestic and international factors probably helped. T</w:t>
      </w:r>
      <w:r w:rsidR="008C1DE2" w:rsidRPr="00517534">
        <w:rPr>
          <w:lang w:val="en-GB"/>
        </w:rPr>
        <w:t xml:space="preserve">he governing coalition between PDK and LDK </w:t>
      </w:r>
      <w:r>
        <w:rPr>
          <w:lang w:val="en-GB"/>
        </w:rPr>
        <w:t>became</w:t>
      </w:r>
      <w:r w:rsidR="008C1DE2" w:rsidRPr="00517534">
        <w:rPr>
          <w:lang w:val="en-GB"/>
        </w:rPr>
        <w:t xml:space="preserve"> increasingly antagonistic, and incapable of solving the distribution of rewards between FARK and KLA veterans. </w:t>
      </w:r>
      <w:r>
        <w:rPr>
          <w:lang w:val="en-GB"/>
        </w:rPr>
        <w:t xml:space="preserve">The IMF stepped up the pressure by </w:t>
      </w:r>
      <w:r w:rsidR="008C1DE2" w:rsidRPr="00517534">
        <w:rPr>
          <w:lang w:val="en-GB"/>
        </w:rPr>
        <w:t>impos</w:t>
      </w:r>
      <w:r>
        <w:rPr>
          <w:lang w:val="en-GB"/>
        </w:rPr>
        <w:t>ing</w:t>
      </w:r>
      <w:r w:rsidR="008C1DE2" w:rsidRPr="00517534">
        <w:rPr>
          <w:lang w:val="en-GB"/>
        </w:rPr>
        <w:t xml:space="preserve"> a cap on special schemes under the threat of discontinuing the Stand-By Arrangement</w:t>
      </w:r>
      <w:r>
        <w:rPr>
          <w:lang w:val="en-GB"/>
        </w:rPr>
        <w:t>. A visible campaign by some NGOs brought the basic age pension affair to the attention of the public.</w:t>
      </w:r>
    </w:p>
    <w:p w14:paraId="6F1D2193" w14:textId="557DDC5D" w:rsidR="000173A2" w:rsidRPr="00517534" w:rsidRDefault="000173A2" w:rsidP="000173A2">
      <w:pPr>
        <w:ind w:firstLine="708"/>
        <w:rPr>
          <w:lang w:val="en-GB"/>
        </w:rPr>
      </w:pPr>
      <w:r>
        <w:rPr>
          <w:lang w:val="en-GB"/>
        </w:rPr>
        <w:t xml:space="preserve">Yet, the reform of the Kosovar pension system has only been </w:t>
      </w:r>
      <w:r w:rsidR="00F41E72">
        <w:rPr>
          <w:lang w:val="en-GB"/>
        </w:rPr>
        <w:t xml:space="preserve">temporarily </w:t>
      </w:r>
      <w:r>
        <w:rPr>
          <w:lang w:val="en-GB"/>
        </w:rPr>
        <w:t>postponed. As t</w:t>
      </w:r>
      <w:r w:rsidRPr="00517534">
        <w:rPr>
          <w:lang w:val="en-GB"/>
        </w:rPr>
        <w:t xml:space="preserve">he consequences of </w:t>
      </w:r>
      <w:r>
        <w:rPr>
          <w:lang w:val="en-GB"/>
        </w:rPr>
        <w:t xml:space="preserve">limiting coverage </w:t>
      </w:r>
      <w:r w:rsidRPr="00517534">
        <w:rPr>
          <w:lang w:val="en-GB"/>
        </w:rPr>
        <w:t>might unnecessarily harm the poorest strata of the elderly population</w:t>
      </w:r>
      <w:r>
        <w:rPr>
          <w:lang w:val="en-GB"/>
        </w:rPr>
        <w:t xml:space="preserve">, this paper proposes a mixed reform strategy </w:t>
      </w:r>
      <w:r w:rsidRPr="00517534">
        <w:rPr>
          <w:lang w:val="en-GB"/>
        </w:rPr>
        <w:t xml:space="preserve">in line with </w:t>
      </w:r>
      <w:r>
        <w:rPr>
          <w:lang w:val="en-GB"/>
        </w:rPr>
        <w:t xml:space="preserve">the </w:t>
      </w:r>
      <w:r w:rsidRPr="00517534">
        <w:rPr>
          <w:lang w:val="en-GB"/>
        </w:rPr>
        <w:t>IMF’s proposals and the World Bank’s current orientation</w:t>
      </w:r>
      <w:r>
        <w:rPr>
          <w:lang w:val="en-GB"/>
        </w:rPr>
        <w:t xml:space="preserve">. It consists of </w:t>
      </w:r>
      <w:r w:rsidRPr="00517534">
        <w:rPr>
          <w:lang w:val="en-GB"/>
        </w:rPr>
        <w:t>simultaneously tackl</w:t>
      </w:r>
      <w:r>
        <w:rPr>
          <w:lang w:val="en-GB"/>
        </w:rPr>
        <w:t>ing</w:t>
      </w:r>
      <w:r w:rsidRPr="00517534">
        <w:rPr>
          <w:lang w:val="en-GB"/>
        </w:rPr>
        <w:t xml:space="preserve"> issues of eligibility (</w:t>
      </w:r>
      <w:r>
        <w:rPr>
          <w:lang w:val="en-GB"/>
        </w:rPr>
        <w:t>gradually</w:t>
      </w:r>
      <w:r w:rsidRPr="00517534">
        <w:rPr>
          <w:lang w:val="en-GB"/>
        </w:rPr>
        <w:t xml:space="preserve"> link</w:t>
      </w:r>
      <w:r>
        <w:rPr>
          <w:lang w:val="en-GB"/>
        </w:rPr>
        <w:t>ing</w:t>
      </w:r>
      <w:r w:rsidRPr="00517534">
        <w:rPr>
          <w:lang w:val="en-GB"/>
        </w:rPr>
        <w:t xml:space="preserve"> the statutory retirement age with life expectancy), taxation (treating pensions as all other income and allowing recipients to continue working), benefit structure (keeping benefit levels and introducing systematic indexation) and administration (enforcing residency tests and consolidating social security databases). </w:t>
      </w:r>
    </w:p>
    <w:p w14:paraId="3B23FFE7" w14:textId="77777777" w:rsidR="000173A2" w:rsidRPr="00517534" w:rsidRDefault="000173A2" w:rsidP="002E7F04">
      <w:pPr>
        <w:ind w:firstLine="708"/>
        <w:rPr>
          <w:lang w:val="en-GB"/>
        </w:rPr>
      </w:pPr>
    </w:p>
    <w:p w14:paraId="2758D6D2" w14:textId="77777777" w:rsidR="005A3D02" w:rsidRPr="00517534" w:rsidRDefault="005A3D02" w:rsidP="004B5482">
      <w:pPr>
        <w:pStyle w:val="Heading1"/>
      </w:pPr>
      <w:r w:rsidRPr="00517534">
        <w:t>Bibliography</w:t>
      </w:r>
    </w:p>
    <w:sdt>
      <w:sdtPr>
        <w:id w:val="11884702"/>
        <w:bibliography/>
      </w:sdtPr>
      <w:sdtEndPr>
        <w:rPr>
          <w:rFonts w:eastAsiaTheme="minorHAnsi"/>
          <w:color w:val="auto"/>
          <w:lang w:eastAsia="en-US"/>
        </w:rPr>
      </w:sdtEndPr>
      <w:sdtContent>
        <w:p w14:paraId="1635FEF9" w14:textId="17B4B5F7" w:rsidR="00B63340" w:rsidRPr="00517534" w:rsidRDefault="00B63340" w:rsidP="004B5482">
          <w:pPr>
            <w:pStyle w:val="Bibliography"/>
            <w:spacing w:line="240" w:lineRule="auto"/>
            <w:ind w:left="720" w:hanging="720"/>
            <w:rPr>
              <w:noProof/>
            </w:rPr>
          </w:pPr>
          <w:r w:rsidRPr="00517534">
            <w:rPr>
              <w:noProof/>
            </w:rPr>
            <w:t>Barr, Nicholas</w:t>
          </w:r>
          <w:r w:rsidR="00B36458" w:rsidRPr="00517534">
            <w:rPr>
              <w:noProof/>
            </w:rPr>
            <w:t>.</w:t>
          </w:r>
          <w:r w:rsidRPr="00517534">
            <w:rPr>
              <w:noProof/>
            </w:rPr>
            <w:t xml:space="preserve"> </w:t>
          </w:r>
          <w:r w:rsidR="00B36458" w:rsidRPr="00517534">
            <w:rPr>
              <w:noProof/>
            </w:rPr>
            <w:t>(</w:t>
          </w:r>
          <w:r w:rsidRPr="00517534">
            <w:rPr>
              <w:noProof/>
            </w:rPr>
            <w:t>2012</w:t>
          </w:r>
          <w:r w:rsidR="00B36458" w:rsidRPr="00517534">
            <w:rPr>
              <w:noProof/>
            </w:rPr>
            <w:t>).</w:t>
          </w:r>
          <w:r w:rsidRPr="00517534">
            <w:rPr>
              <w:noProof/>
            </w:rPr>
            <w:t xml:space="preserve"> </w:t>
          </w:r>
          <w:r w:rsidRPr="00517534">
            <w:rPr>
              <w:i/>
              <w:iCs/>
              <w:noProof/>
            </w:rPr>
            <w:t xml:space="preserve">Economics of the Welfare State, 5th Edition </w:t>
          </w:r>
          <w:r w:rsidRPr="00517534">
            <w:rPr>
              <w:iCs/>
              <w:noProof/>
            </w:rPr>
            <w:t>(</w:t>
          </w:r>
          <w:r w:rsidRPr="00517534">
            <w:rPr>
              <w:noProof/>
            </w:rPr>
            <w:t>Oxford: OUP).</w:t>
          </w:r>
        </w:p>
        <w:p w14:paraId="30835147" w14:textId="1C4E1EE0" w:rsidR="00B63340" w:rsidRPr="00517534" w:rsidRDefault="00B63340" w:rsidP="004B5482">
          <w:pPr>
            <w:pStyle w:val="Bibliography"/>
            <w:spacing w:line="240" w:lineRule="auto"/>
            <w:ind w:left="720" w:hanging="720"/>
            <w:rPr>
              <w:noProof/>
            </w:rPr>
          </w:pPr>
          <w:r w:rsidRPr="00517534">
            <w:rPr>
              <w:noProof/>
            </w:rPr>
            <w:t>Bartlett, William</w:t>
          </w:r>
          <w:r w:rsidR="00B36458" w:rsidRPr="00517534">
            <w:rPr>
              <w:noProof/>
            </w:rPr>
            <w:t>. (2013).</w:t>
          </w:r>
          <w:r w:rsidRPr="00517534">
            <w:rPr>
              <w:noProof/>
            </w:rPr>
            <w:t xml:space="preserve"> The Political Economy of Welfare Reform in the Western Balkans, in Ruggeri Laderchi, Caterina, and Savastano, Sara (eds) </w:t>
          </w:r>
          <w:r w:rsidRPr="00517534">
            <w:rPr>
              <w:i/>
              <w:noProof/>
            </w:rPr>
            <w:t>Poverty and Exclusion in the Western Balkans: New Directions in Measurement and Policy</w:t>
          </w:r>
          <w:r w:rsidRPr="00517534">
            <w:rPr>
              <w:noProof/>
            </w:rPr>
            <w:t xml:space="preserve"> (Springer: New York).</w:t>
          </w:r>
        </w:p>
        <w:p w14:paraId="38D1DAD3" w14:textId="17DC16CD" w:rsidR="00B63340" w:rsidRPr="0013276E" w:rsidRDefault="00B63340" w:rsidP="004B5482">
          <w:pPr>
            <w:pStyle w:val="Bibliography"/>
            <w:spacing w:line="240" w:lineRule="auto"/>
            <w:ind w:left="720" w:hanging="720"/>
            <w:rPr>
              <w:noProof/>
              <w:lang w:val="de-DE"/>
            </w:rPr>
          </w:pPr>
          <w:r w:rsidRPr="0013276E">
            <w:rPr>
              <w:noProof/>
              <w:lang w:val="de-DE"/>
            </w:rPr>
            <w:t>Bertelsmann Stiftung</w:t>
          </w:r>
          <w:r w:rsidR="00B36458" w:rsidRPr="0013276E">
            <w:rPr>
              <w:noProof/>
              <w:lang w:val="de-DE"/>
            </w:rPr>
            <w:t>.</w:t>
          </w:r>
          <w:r w:rsidRPr="0013276E">
            <w:rPr>
              <w:noProof/>
              <w:lang w:val="de-DE"/>
            </w:rPr>
            <w:t xml:space="preserve"> </w:t>
          </w:r>
          <w:r w:rsidR="00B36458" w:rsidRPr="0013276E">
            <w:rPr>
              <w:noProof/>
              <w:lang w:val="de-DE"/>
            </w:rPr>
            <w:t>(</w:t>
          </w:r>
          <w:r w:rsidRPr="0013276E">
            <w:rPr>
              <w:noProof/>
              <w:lang w:val="de-DE"/>
            </w:rPr>
            <w:t>2016</w:t>
          </w:r>
          <w:r w:rsidR="00B36458" w:rsidRPr="0013276E">
            <w:rPr>
              <w:noProof/>
              <w:lang w:val="de-DE"/>
            </w:rPr>
            <w:t>).</w:t>
          </w:r>
          <w:r w:rsidRPr="0013276E">
            <w:rPr>
              <w:noProof/>
              <w:lang w:val="de-DE"/>
            </w:rPr>
            <w:t xml:space="preserve"> </w:t>
          </w:r>
          <w:r w:rsidRPr="0013276E">
            <w:rPr>
              <w:i/>
              <w:iCs/>
              <w:noProof/>
              <w:lang w:val="de-DE"/>
            </w:rPr>
            <w:t xml:space="preserve">BTI 2016 - Kosovo Country Report </w:t>
          </w:r>
          <w:r w:rsidRPr="0013276E">
            <w:rPr>
              <w:iCs/>
              <w:noProof/>
              <w:lang w:val="de-DE"/>
            </w:rPr>
            <w:t>(</w:t>
          </w:r>
          <w:r w:rsidRPr="0013276E">
            <w:rPr>
              <w:noProof/>
              <w:lang w:val="de-DE"/>
            </w:rPr>
            <w:t>Gütersloh: Bertelsmann Stiftung).</w:t>
          </w:r>
        </w:p>
        <w:p w14:paraId="65C495CF" w14:textId="40C9FA28" w:rsidR="00B63340" w:rsidRPr="00517534" w:rsidRDefault="00B63340" w:rsidP="004B5482">
          <w:pPr>
            <w:pStyle w:val="Bibliography"/>
            <w:spacing w:line="240" w:lineRule="auto"/>
            <w:ind w:left="720" w:hanging="720"/>
            <w:rPr>
              <w:noProof/>
            </w:rPr>
          </w:pPr>
          <w:r w:rsidRPr="00517534">
            <w:rPr>
              <w:noProof/>
            </w:rPr>
            <w:t>Bonoli, Giuliano</w:t>
          </w:r>
          <w:r w:rsidR="00B36458" w:rsidRPr="00517534">
            <w:rPr>
              <w:noProof/>
            </w:rPr>
            <w:t>.</w:t>
          </w:r>
          <w:r w:rsidRPr="00517534">
            <w:rPr>
              <w:noProof/>
            </w:rPr>
            <w:t xml:space="preserve"> </w:t>
          </w:r>
          <w:r w:rsidR="00B36458" w:rsidRPr="00517534">
            <w:rPr>
              <w:noProof/>
            </w:rPr>
            <w:t>(</w:t>
          </w:r>
          <w:r w:rsidRPr="00517534">
            <w:rPr>
              <w:noProof/>
            </w:rPr>
            <w:t>2012</w:t>
          </w:r>
          <w:r w:rsidR="00B36458" w:rsidRPr="00517534">
            <w:rPr>
              <w:noProof/>
            </w:rPr>
            <w:t xml:space="preserve">). </w:t>
          </w:r>
          <w:r w:rsidRPr="00517534">
            <w:rPr>
              <w:noProof/>
            </w:rPr>
            <w:t>Blame Avoidance and Credit Claiming Revisited</w:t>
          </w:r>
          <w:r w:rsidR="00B36458" w:rsidRPr="00517534">
            <w:rPr>
              <w:noProof/>
            </w:rPr>
            <w:t>,</w:t>
          </w:r>
          <w:r w:rsidRPr="00517534">
            <w:rPr>
              <w:noProof/>
            </w:rPr>
            <w:t xml:space="preserve"> in Bonoli, Giuliano and Natali, David (eds) </w:t>
          </w:r>
          <w:r w:rsidRPr="00517534">
            <w:rPr>
              <w:i/>
              <w:iCs/>
              <w:noProof/>
            </w:rPr>
            <w:t>The Politics of the New Welfare State</w:t>
          </w:r>
          <w:r w:rsidRPr="00517534">
            <w:rPr>
              <w:noProof/>
            </w:rPr>
            <w:t xml:space="preserve"> (Oxford: OUP).</w:t>
          </w:r>
        </w:p>
        <w:p w14:paraId="3A5B001F" w14:textId="219B1C07" w:rsidR="00F84353" w:rsidRPr="00517534" w:rsidRDefault="00047F75" w:rsidP="00F84353">
          <w:pPr>
            <w:pStyle w:val="Bibliography"/>
            <w:spacing w:line="240" w:lineRule="auto"/>
            <w:ind w:left="720" w:hanging="720"/>
          </w:pPr>
          <w:proofErr w:type="spellStart"/>
          <w:r w:rsidRPr="00517534">
            <w:t>Cocozzelli</w:t>
          </w:r>
          <w:proofErr w:type="spellEnd"/>
          <w:r w:rsidRPr="00517534">
            <w:t xml:space="preserve">, Fred P. </w:t>
          </w:r>
          <w:r w:rsidR="00B36458" w:rsidRPr="00517534">
            <w:t>(</w:t>
          </w:r>
          <w:r w:rsidRPr="00517534">
            <w:t>2009</w:t>
          </w:r>
          <w:r w:rsidR="00B36458" w:rsidRPr="00517534">
            <w:t>).</w:t>
          </w:r>
          <w:r w:rsidRPr="00517534">
            <w:t xml:space="preserve"> </w:t>
          </w:r>
          <w:r w:rsidRPr="00517534">
            <w:rPr>
              <w:i/>
            </w:rPr>
            <w:t>War and Social Welfare</w:t>
          </w:r>
          <w:r w:rsidRPr="00517534">
            <w:t xml:space="preserve"> (New York: Palgrave Macmillan).</w:t>
          </w:r>
        </w:p>
        <w:p w14:paraId="62405A76" w14:textId="4EDCDC24" w:rsidR="00F84353" w:rsidRPr="00517534" w:rsidRDefault="00F84353" w:rsidP="00F84353">
          <w:pPr>
            <w:pStyle w:val="Bibliography"/>
            <w:spacing w:line="240" w:lineRule="auto"/>
            <w:ind w:left="720" w:hanging="720"/>
            <w:rPr>
              <w:noProof/>
            </w:rPr>
          </w:pPr>
          <w:r w:rsidRPr="00517534">
            <w:t>European Commission</w:t>
          </w:r>
          <w:r w:rsidR="00B36458" w:rsidRPr="00517534">
            <w:t>.</w:t>
          </w:r>
          <w:r w:rsidRPr="00517534">
            <w:t xml:space="preserve"> </w:t>
          </w:r>
          <w:r w:rsidR="00B36458" w:rsidRPr="00517534">
            <w:t>(</w:t>
          </w:r>
          <w:r w:rsidRPr="00517534">
            <w:t>2018</w:t>
          </w:r>
          <w:r w:rsidR="00B36458" w:rsidRPr="00517534">
            <w:t>).</w:t>
          </w:r>
          <w:r w:rsidRPr="00517534">
            <w:t xml:space="preserve"> </w:t>
          </w:r>
          <w:r w:rsidRPr="00517534">
            <w:rPr>
              <w:i/>
              <w:iCs/>
            </w:rPr>
            <w:t>The 2018 Ageing Report: Economic &amp; Budgetary Projections for the 28 EU Member States (2016-2070)</w:t>
          </w:r>
          <w:r w:rsidRPr="00517534">
            <w:t xml:space="preserve"> (Luxembourg: Publications Office of the European Union).</w:t>
          </w:r>
        </w:p>
        <w:p w14:paraId="353545FB" w14:textId="77E0EB46" w:rsidR="00B63340" w:rsidRPr="00517534" w:rsidRDefault="00B63340" w:rsidP="004B5482">
          <w:pPr>
            <w:pStyle w:val="Bibliography"/>
            <w:spacing w:line="240" w:lineRule="auto"/>
            <w:ind w:left="720" w:hanging="720"/>
            <w:rPr>
              <w:noProof/>
            </w:rPr>
          </w:pPr>
          <w:proofErr w:type="spellStart"/>
          <w:r w:rsidRPr="00517534">
            <w:lastRenderedPageBreak/>
            <w:t>F</w:t>
          </w:r>
          <w:r w:rsidRPr="00517534">
            <w:rPr>
              <w:noProof/>
            </w:rPr>
            <w:t>eher</w:t>
          </w:r>
          <w:proofErr w:type="spellEnd"/>
          <w:r w:rsidRPr="00517534">
            <w:rPr>
              <w:noProof/>
            </w:rPr>
            <w:t>, Csaba, Jirasavetakul, La-Bhus Fah and Jousten, Alain</w:t>
          </w:r>
          <w:r w:rsidR="00B36458" w:rsidRPr="00517534">
            <w:rPr>
              <w:noProof/>
            </w:rPr>
            <w:t>.</w:t>
          </w:r>
          <w:r w:rsidRPr="00517534">
            <w:rPr>
              <w:noProof/>
            </w:rPr>
            <w:t xml:space="preserve"> </w:t>
          </w:r>
          <w:r w:rsidR="00B36458" w:rsidRPr="00517534">
            <w:rPr>
              <w:noProof/>
            </w:rPr>
            <w:t>(</w:t>
          </w:r>
          <w:r w:rsidRPr="00517534">
            <w:rPr>
              <w:noProof/>
            </w:rPr>
            <w:t>2016</w:t>
          </w:r>
          <w:r w:rsidR="00B36458" w:rsidRPr="00517534">
            <w:rPr>
              <w:noProof/>
            </w:rPr>
            <w:t>).</w:t>
          </w:r>
          <w:r w:rsidRPr="00517534">
            <w:rPr>
              <w:noProof/>
            </w:rPr>
            <w:t xml:space="preserve"> Kosovo: Enhancing Social Protection Cash Benefits</w:t>
          </w:r>
          <w:r w:rsidR="00B36458" w:rsidRPr="00517534">
            <w:rPr>
              <w:noProof/>
            </w:rPr>
            <w:t>,</w:t>
          </w:r>
          <w:r w:rsidRPr="00517534">
            <w:rPr>
              <w:noProof/>
            </w:rPr>
            <w:t xml:space="preserve"> </w:t>
          </w:r>
          <w:r w:rsidRPr="00517534">
            <w:rPr>
              <w:i/>
              <w:iCs/>
              <w:noProof/>
            </w:rPr>
            <w:t>IMF Country Report No. 16/123</w:t>
          </w:r>
          <w:r w:rsidRPr="00517534">
            <w:rPr>
              <w:noProof/>
            </w:rPr>
            <w:t>.</w:t>
          </w:r>
        </w:p>
        <w:p w14:paraId="40388B70" w14:textId="450FE5D9" w:rsidR="00B36458" w:rsidRPr="00517534" w:rsidRDefault="00B36458" w:rsidP="00B36458">
          <w:pPr>
            <w:pStyle w:val="Bibliography"/>
            <w:spacing w:line="240" w:lineRule="auto"/>
            <w:ind w:left="720" w:hanging="720"/>
            <w:rPr>
              <w:noProof/>
            </w:rPr>
          </w:pPr>
          <w:proofErr w:type="spellStart"/>
          <w:r w:rsidRPr="00517534">
            <w:t>Ferrera</w:t>
          </w:r>
          <w:proofErr w:type="spellEnd"/>
          <w:r w:rsidRPr="00517534">
            <w:t xml:space="preserve">, </w:t>
          </w:r>
          <w:r w:rsidRPr="00517534">
            <w:rPr>
              <w:noProof/>
            </w:rPr>
            <w:t>Maurizio.</w:t>
          </w:r>
          <w:r w:rsidRPr="00517534">
            <w:t xml:space="preserve"> (1996). The “Southern Model” of Welfare in Social Europe. </w:t>
          </w:r>
          <w:r w:rsidRPr="00517534">
            <w:rPr>
              <w:i/>
              <w:iCs/>
            </w:rPr>
            <w:t>Journal of European Social Policy</w:t>
          </w:r>
          <w:r w:rsidRPr="00517534">
            <w:t xml:space="preserve">, </w:t>
          </w:r>
          <w:r w:rsidRPr="00517534">
            <w:rPr>
              <w:i/>
              <w:iCs/>
            </w:rPr>
            <w:t>6</w:t>
          </w:r>
          <w:r w:rsidRPr="00517534">
            <w:t>(1), 17–37.</w:t>
          </w:r>
        </w:p>
        <w:p w14:paraId="59F7E214" w14:textId="09C7ECA4" w:rsidR="00B36458" w:rsidRPr="00517534" w:rsidRDefault="00B36458" w:rsidP="00B36458">
          <w:pPr>
            <w:pStyle w:val="Bibliography"/>
            <w:spacing w:line="240" w:lineRule="auto"/>
            <w:ind w:left="720" w:hanging="720"/>
            <w:rPr>
              <w:noProof/>
            </w:rPr>
          </w:pPr>
          <w:r w:rsidRPr="00517534">
            <w:t xml:space="preserve">Gal, John. (2010). Is there an extended family of Mediterranean welfare states? </w:t>
          </w:r>
          <w:r w:rsidRPr="00517534">
            <w:rPr>
              <w:i/>
              <w:iCs/>
            </w:rPr>
            <w:t>Journal of European Social Policy</w:t>
          </w:r>
          <w:r w:rsidRPr="00517534">
            <w:t xml:space="preserve">, </w:t>
          </w:r>
          <w:r w:rsidRPr="00517534">
            <w:rPr>
              <w:i/>
              <w:iCs/>
            </w:rPr>
            <w:t>20</w:t>
          </w:r>
          <w:r w:rsidRPr="00517534">
            <w:t>(4), 283–300.</w:t>
          </w:r>
        </w:p>
        <w:p w14:paraId="2D867857" w14:textId="0038EA75" w:rsidR="00B36458" w:rsidRPr="00517534" w:rsidRDefault="00B36458" w:rsidP="00B36458">
          <w:pPr>
            <w:pStyle w:val="Bibliography"/>
            <w:spacing w:line="240" w:lineRule="auto"/>
            <w:ind w:left="720" w:hanging="720"/>
            <w:rPr>
              <w:noProof/>
            </w:rPr>
          </w:pPr>
          <w:r w:rsidRPr="00517534">
            <w:t xml:space="preserve">Gough, Ian. (1996). Social assistance in Southern Europe. </w:t>
          </w:r>
          <w:r w:rsidRPr="00517534">
            <w:rPr>
              <w:i/>
              <w:iCs/>
            </w:rPr>
            <w:t>South European Society and Politics</w:t>
          </w:r>
          <w:r w:rsidRPr="00517534">
            <w:t xml:space="preserve">, </w:t>
          </w:r>
          <w:r w:rsidRPr="00517534">
            <w:rPr>
              <w:i/>
              <w:iCs/>
            </w:rPr>
            <w:t>1</w:t>
          </w:r>
          <w:r w:rsidRPr="00517534">
            <w:t>(1), 1–23.</w:t>
          </w:r>
        </w:p>
        <w:p w14:paraId="2FA4E3EC" w14:textId="688267B1" w:rsidR="00047F75" w:rsidRPr="00517534" w:rsidRDefault="00B63340" w:rsidP="004B5482">
          <w:pPr>
            <w:pStyle w:val="Bibliography"/>
            <w:spacing w:line="240" w:lineRule="auto"/>
            <w:ind w:left="720" w:hanging="720"/>
            <w:rPr>
              <w:noProof/>
            </w:rPr>
          </w:pPr>
          <w:r w:rsidRPr="00517534">
            <w:rPr>
              <w:noProof/>
            </w:rPr>
            <w:t>Government RK</w:t>
          </w:r>
          <w:r w:rsidR="00B36458" w:rsidRPr="00517534">
            <w:rPr>
              <w:noProof/>
            </w:rPr>
            <w:t>.</w:t>
          </w:r>
          <w:r w:rsidRPr="00517534">
            <w:rPr>
              <w:noProof/>
            </w:rPr>
            <w:t xml:space="preserve"> </w:t>
          </w:r>
          <w:r w:rsidR="00B36458" w:rsidRPr="00517534">
            <w:rPr>
              <w:noProof/>
            </w:rPr>
            <w:t>(</w:t>
          </w:r>
          <w:r w:rsidRPr="00517534">
            <w:rPr>
              <w:noProof/>
            </w:rPr>
            <w:t>2016</w:t>
          </w:r>
          <w:r w:rsidR="00B36458" w:rsidRPr="00517534">
            <w:rPr>
              <w:noProof/>
            </w:rPr>
            <w:t>).</w:t>
          </w:r>
          <w:r w:rsidRPr="00517534">
            <w:rPr>
              <w:noProof/>
            </w:rPr>
            <w:t xml:space="preserve"> </w:t>
          </w:r>
          <w:r w:rsidRPr="00517534">
            <w:rPr>
              <w:i/>
              <w:iCs/>
              <w:noProof/>
            </w:rPr>
            <w:t>Drafti i konceptdokumentit për rregullimin e fushës e pensioneve</w:t>
          </w:r>
          <w:r w:rsidRPr="00517534">
            <w:rPr>
              <w:noProof/>
            </w:rPr>
            <w:t xml:space="preserve"> (Prishtina: Ministry of Labour and Social Welfare).</w:t>
          </w:r>
        </w:p>
        <w:p w14:paraId="63C89CF7" w14:textId="0428F684" w:rsidR="00047F75" w:rsidRPr="00517534" w:rsidRDefault="00047F75" w:rsidP="004B5482">
          <w:pPr>
            <w:pStyle w:val="Bibliography"/>
            <w:spacing w:line="240" w:lineRule="auto"/>
            <w:ind w:left="720" w:hanging="720"/>
            <w:rPr>
              <w:noProof/>
            </w:rPr>
          </w:pPr>
          <w:r w:rsidRPr="00517534">
            <w:rPr>
              <w:noProof/>
            </w:rPr>
            <w:t>Green-Pedersen, Christoffer</w:t>
          </w:r>
          <w:r w:rsidR="00B36458" w:rsidRPr="00517534">
            <w:rPr>
              <w:noProof/>
            </w:rPr>
            <w:t>.</w:t>
          </w:r>
          <w:r w:rsidRPr="00517534">
            <w:rPr>
              <w:noProof/>
            </w:rPr>
            <w:t xml:space="preserve"> </w:t>
          </w:r>
          <w:r w:rsidR="00B36458" w:rsidRPr="00517534">
            <w:rPr>
              <w:noProof/>
            </w:rPr>
            <w:t>(</w:t>
          </w:r>
          <w:r w:rsidRPr="00517534">
            <w:rPr>
              <w:noProof/>
            </w:rPr>
            <w:t>2003</w:t>
          </w:r>
          <w:r w:rsidR="00B36458" w:rsidRPr="00517534">
            <w:rPr>
              <w:noProof/>
            </w:rPr>
            <w:t>).</w:t>
          </w:r>
          <w:r w:rsidRPr="00517534">
            <w:rPr>
              <w:noProof/>
            </w:rPr>
            <w:t xml:space="preserve"> </w:t>
          </w:r>
          <w:r w:rsidRPr="00517534">
            <w:rPr>
              <w:i/>
              <w:iCs/>
              <w:noProof/>
            </w:rPr>
            <w:t>The Politics of Justification: Party Competition and Welfare-State Retrenchment in Denmark and the Netherlands from 1982 to 1998</w:t>
          </w:r>
          <w:r w:rsidRPr="00517534">
            <w:rPr>
              <w:noProof/>
            </w:rPr>
            <w:t xml:space="preserve"> (Amsterdam: AUP).</w:t>
          </w:r>
        </w:p>
        <w:p w14:paraId="7BEA9B9C" w14:textId="362AD783" w:rsidR="00C5131A" w:rsidRPr="00517534" w:rsidRDefault="006A06D5" w:rsidP="00C5131A">
          <w:pPr>
            <w:pStyle w:val="Bibliography"/>
            <w:spacing w:line="240" w:lineRule="auto"/>
            <w:ind w:left="720" w:hanging="720"/>
            <w:rPr>
              <w:noProof/>
            </w:rPr>
          </w:pPr>
          <w:r w:rsidRPr="00517534">
            <w:rPr>
              <w:noProof/>
            </w:rPr>
            <w:t>Grosh, Marg</w:t>
          </w:r>
          <w:r w:rsidR="005A3D02" w:rsidRPr="00517534">
            <w:rPr>
              <w:noProof/>
            </w:rPr>
            <w:t>aret</w:t>
          </w:r>
          <w:r w:rsidRPr="00517534">
            <w:rPr>
              <w:noProof/>
            </w:rPr>
            <w:t xml:space="preserve"> and Leite, Philippe G. </w:t>
          </w:r>
          <w:r w:rsidR="00B36458" w:rsidRPr="00517534">
            <w:rPr>
              <w:noProof/>
            </w:rPr>
            <w:t>(</w:t>
          </w:r>
          <w:r w:rsidRPr="00517534">
            <w:rPr>
              <w:noProof/>
            </w:rPr>
            <w:t>2009</w:t>
          </w:r>
          <w:r w:rsidR="00B36458" w:rsidRPr="00517534">
            <w:rPr>
              <w:noProof/>
            </w:rPr>
            <w:t>).</w:t>
          </w:r>
          <w:r w:rsidRPr="00517534">
            <w:rPr>
              <w:noProof/>
            </w:rPr>
            <w:t xml:space="preserve"> Defining Eligibility for Social Pensions: A View from a Social Assistance Perspective</w:t>
          </w:r>
          <w:r w:rsidR="00B36458" w:rsidRPr="00517534">
            <w:rPr>
              <w:noProof/>
            </w:rPr>
            <w:t>,</w:t>
          </w:r>
          <w:r w:rsidRPr="00517534">
            <w:rPr>
              <w:noProof/>
            </w:rPr>
            <w:t xml:space="preserve"> in Holzmann, Robert, Robalino, David A. and Takayama, Noriyuki (eds) </w:t>
          </w:r>
          <w:r w:rsidRPr="00517534">
            <w:rPr>
              <w:i/>
              <w:iCs/>
              <w:noProof/>
            </w:rPr>
            <w:t>Closing the Coverage Gap: Role of Social Pensions and Other Retirement Income Transfers</w:t>
          </w:r>
          <w:r w:rsidRPr="00517534">
            <w:rPr>
              <w:noProof/>
            </w:rPr>
            <w:t xml:space="preserve"> (Washington, DC: The World Bank).</w:t>
          </w:r>
        </w:p>
        <w:p w14:paraId="09DE0F2F" w14:textId="5D67D23E" w:rsidR="00C5131A" w:rsidRPr="00517534" w:rsidRDefault="00C5131A" w:rsidP="00C5131A">
          <w:pPr>
            <w:pStyle w:val="Bibliography"/>
            <w:spacing w:line="240" w:lineRule="auto"/>
            <w:ind w:left="720" w:hanging="720"/>
          </w:pPr>
          <w:r w:rsidRPr="00517534">
            <w:t>Guardiancich, I</w:t>
          </w:r>
          <w:r w:rsidR="00B36458" w:rsidRPr="00517534">
            <w:t>gor.</w:t>
          </w:r>
          <w:r w:rsidRPr="00517534">
            <w:t xml:space="preserve"> (2008). Southeast European Pension Systems and Three Types of Reform Unsustainability. </w:t>
          </w:r>
          <w:proofErr w:type="spellStart"/>
          <w:r w:rsidRPr="00517534">
            <w:rPr>
              <w:i/>
              <w:iCs/>
            </w:rPr>
            <w:t>Südosteuropa</w:t>
          </w:r>
          <w:proofErr w:type="spellEnd"/>
          <w:r w:rsidRPr="00517534">
            <w:rPr>
              <w:i/>
              <w:iCs/>
            </w:rPr>
            <w:t xml:space="preserve">. </w:t>
          </w:r>
          <w:proofErr w:type="spellStart"/>
          <w:r w:rsidRPr="00517534">
            <w:rPr>
              <w:i/>
              <w:iCs/>
            </w:rPr>
            <w:t>Zeitschrift</w:t>
          </w:r>
          <w:proofErr w:type="spellEnd"/>
          <w:r w:rsidRPr="00517534">
            <w:rPr>
              <w:i/>
              <w:iCs/>
            </w:rPr>
            <w:t xml:space="preserve"> </w:t>
          </w:r>
          <w:proofErr w:type="spellStart"/>
          <w:r w:rsidRPr="00517534">
            <w:rPr>
              <w:i/>
              <w:iCs/>
            </w:rPr>
            <w:t>Für</w:t>
          </w:r>
          <w:proofErr w:type="spellEnd"/>
          <w:r w:rsidRPr="00517534">
            <w:rPr>
              <w:i/>
              <w:iCs/>
            </w:rPr>
            <w:t xml:space="preserve"> </w:t>
          </w:r>
          <w:proofErr w:type="spellStart"/>
          <w:r w:rsidRPr="00517534">
            <w:rPr>
              <w:i/>
              <w:iCs/>
            </w:rPr>
            <w:t>Politik</w:t>
          </w:r>
          <w:proofErr w:type="spellEnd"/>
          <w:r w:rsidRPr="00517534">
            <w:rPr>
              <w:i/>
              <w:iCs/>
            </w:rPr>
            <w:t xml:space="preserve"> Und Gesellschaft</w:t>
          </w:r>
          <w:r w:rsidRPr="00517534">
            <w:t xml:space="preserve">, </w:t>
          </w:r>
          <w:r w:rsidR="00B36458" w:rsidRPr="00517534">
            <w:rPr>
              <w:i/>
              <w:sz w:val="22"/>
              <w:szCs w:val="22"/>
              <w:lang w:eastAsia="zh-CN" w:bidi="he-IL"/>
            </w:rPr>
            <w:t>56</w:t>
          </w:r>
          <w:r w:rsidR="00B36458" w:rsidRPr="00517534">
            <w:rPr>
              <w:sz w:val="22"/>
              <w:szCs w:val="22"/>
              <w:lang w:eastAsia="zh-CN" w:bidi="he-IL"/>
            </w:rPr>
            <w:t>(4): 480</w:t>
          </w:r>
          <w:r w:rsidR="00B36458" w:rsidRPr="00517534">
            <w:t>–</w:t>
          </w:r>
          <w:r w:rsidR="00B36458" w:rsidRPr="00517534">
            <w:rPr>
              <w:sz w:val="22"/>
              <w:szCs w:val="22"/>
              <w:lang w:eastAsia="zh-CN" w:bidi="he-IL"/>
            </w:rPr>
            <w:t>502</w:t>
          </w:r>
          <w:r w:rsidRPr="00517534">
            <w:t>.</w:t>
          </w:r>
        </w:p>
        <w:p w14:paraId="3B51F0FD" w14:textId="26C69964" w:rsidR="00B63340" w:rsidRPr="00517534" w:rsidRDefault="00C5131A" w:rsidP="00C5131A">
          <w:pPr>
            <w:pStyle w:val="Bibliography"/>
            <w:spacing w:line="240" w:lineRule="auto"/>
            <w:ind w:left="720" w:hanging="720"/>
            <w:rPr>
              <w:noProof/>
            </w:rPr>
          </w:pPr>
          <w:r w:rsidRPr="00517534">
            <w:t>Guardiancich, I</w:t>
          </w:r>
          <w:r w:rsidR="00B36458" w:rsidRPr="00517534">
            <w:t>gor.</w:t>
          </w:r>
          <w:r w:rsidRPr="00517534">
            <w:t xml:space="preserve"> (2013). </w:t>
          </w:r>
          <w:r w:rsidRPr="00517534">
            <w:rPr>
              <w:i/>
              <w:iCs/>
            </w:rPr>
            <w:t xml:space="preserve">Pension reforms in Central, Eastern, and </w:t>
          </w:r>
          <w:proofErr w:type="spellStart"/>
          <w:r w:rsidRPr="00517534">
            <w:rPr>
              <w:i/>
              <w:iCs/>
            </w:rPr>
            <w:t>Southeastern</w:t>
          </w:r>
          <w:proofErr w:type="spellEnd"/>
          <w:r w:rsidRPr="00517534">
            <w:rPr>
              <w:i/>
              <w:iCs/>
            </w:rPr>
            <w:t xml:space="preserve"> Europe: From post-socialist transition to the global financial crisis</w:t>
          </w:r>
          <w:r w:rsidR="00B36458" w:rsidRPr="00517534">
            <w:t xml:space="preserve"> (</w:t>
          </w:r>
          <w:r w:rsidRPr="00517534">
            <w:t>New York: Routledge</w:t>
          </w:r>
          <w:r w:rsidR="00B36458" w:rsidRPr="00517534">
            <w:t>)</w:t>
          </w:r>
          <w:r w:rsidRPr="00517534">
            <w:t>.</w:t>
          </w:r>
        </w:p>
        <w:p w14:paraId="5196DCD2" w14:textId="1FCD1571" w:rsidR="00B63340" w:rsidRPr="00517534" w:rsidRDefault="00B63340" w:rsidP="004B5482">
          <w:pPr>
            <w:pStyle w:val="Bibliography"/>
            <w:spacing w:line="240" w:lineRule="auto"/>
            <w:ind w:left="720" w:hanging="720"/>
            <w:rPr>
              <w:noProof/>
            </w:rPr>
          </w:pPr>
          <w:r w:rsidRPr="00517534">
            <w:rPr>
              <w:noProof/>
            </w:rPr>
            <w:t>Gubbels, John, Snelbecker, David and Zezulin, Lena</w:t>
          </w:r>
          <w:r w:rsidR="00B36458" w:rsidRPr="00517534">
            <w:rPr>
              <w:noProof/>
            </w:rPr>
            <w:t>.</w:t>
          </w:r>
          <w:r w:rsidRPr="00517534">
            <w:rPr>
              <w:noProof/>
            </w:rPr>
            <w:t xml:space="preserve"> </w:t>
          </w:r>
          <w:r w:rsidR="00B36458" w:rsidRPr="00517534">
            <w:rPr>
              <w:noProof/>
            </w:rPr>
            <w:t>(</w:t>
          </w:r>
          <w:r w:rsidRPr="00517534">
            <w:rPr>
              <w:noProof/>
            </w:rPr>
            <w:t>2007</w:t>
          </w:r>
          <w:r w:rsidR="00B36458" w:rsidRPr="00517534">
            <w:rPr>
              <w:noProof/>
            </w:rPr>
            <w:t>)</w:t>
          </w:r>
          <w:r w:rsidRPr="00517534">
            <w:rPr>
              <w:noProof/>
            </w:rPr>
            <w:t xml:space="preserve"> The Kosovo Pension Reform: Achievements and Lessons</w:t>
          </w:r>
          <w:r w:rsidR="00B36458" w:rsidRPr="00517534">
            <w:rPr>
              <w:noProof/>
            </w:rPr>
            <w:t>,</w:t>
          </w:r>
          <w:r w:rsidRPr="00517534">
            <w:rPr>
              <w:noProof/>
            </w:rPr>
            <w:t xml:space="preserve"> </w:t>
          </w:r>
          <w:r w:rsidRPr="00517534">
            <w:rPr>
              <w:i/>
              <w:iCs/>
              <w:noProof/>
            </w:rPr>
            <w:t>World Bank Social Protection Discussion Paper</w:t>
          </w:r>
          <w:r w:rsidRPr="00517534">
            <w:rPr>
              <w:iCs/>
              <w:noProof/>
            </w:rPr>
            <w:t>, No.</w:t>
          </w:r>
          <w:r w:rsidRPr="00517534">
            <w:rPr>
              <w:noProof/>
            </w:rPr>
            <w:t xml:space="preserve"> 707.</w:t>
          </w:r>
        </w:p>
        <w:p w14:paraId="23A245FF" w14:textId="4B1C320D" w:rsidR="00047F75" w:rsidRPr="00517534" w:rsidRDefault="00047F75" w:rsidP="004B5482">
          <w:pPr>
            <w:pStyle w:val="Bibliography"/>
            <w:spacing w:line="240" w:lineRule="auto"/>
            <w:ind w:left="720" w:hanging="720"/>
          </w:pPr>
          <w:proofErr w:type="spellStart"/>
          <w:r w:rsidRPr="00517534">
            <w:t>Héthy</w:t>
          </w:r>
          <w:proofErr w:type="spellEnd"/>
          <w:r w:rsidRPr="00517534">
            <w:t>, Lajos</w:t>
          </w:r>
          <w:r w:rsidR="00B36458" w:rsidRPr="00517534">
            <w:t>.</w:t>
          </w:r>
          <w:r w:rsidRPr="00517534">
            <w:t xml:space="preserve"> </w:t>
          </w:r>
          <w:r w:rsidR="00B36458" w:rsidRPr="00517534">
            <w:t>(</w:t>
          </w:r>
          <w:r w:rsidRPr="00517534">
            <w:t>2005</w:t>
          </w:r>
          <w:r w:rsidR="00B36458" w:rsidRPr="00517534">
            <w:t>).</w:t>
          </w:r>
          <w:r w:rsidRPr="00517534">
            <w:t xml:space="preserve"> </w:t>
          </w:r>
          <w:r w:rsidRPr="00517534">
            <w:rPr>
              <w:i/>
            </w:rPr>
            <w:t xml:space="preserve">Kosovo Mission: Reconstructing the </w:t>
          </w:r>
          <w:proofErr w:type="spellStart"/>
          <w:r w:rsidRPr="00517534">
            <w:rPr>
              <w:i/>
            </w:rPr>
            <w:t>Labor</w:t>
          </w:r>
          <w:proofErr w:type="spellEnd"/>
          <w:r w:rsidRPr="00517534">
            <w:rPr>
              <w:i/>
            </w:rPr>
            <w:t xml:space="preserve"> and Social Welfare System</w:t>
          </w:r>
          <w:r w:rsidRPr="00517534">
            <w:t xml:space="preserve"> (Brussels: ETUI).</w:t>
          </w:r>
        </w:p>
        <w:p w14:paraId="23641C15" w14:textId="7DF5C113" w:rsidR="00B63340" w:rsidRPr="00517534" w:rsidRDefault="00B63340" w:rsidP="004B5482">
          <w:pPr>
            <w:pStyle w:val="Bibliography"/>
            <w:spacing w:line="240" w:lineRule="auto"/>
            <w:ind w:left="720" w:hanging="720"/>
            <w:rPr>
              <w:noProof/>
            </w:rPr>
          </w:pPr>
          <w:r w:rsidRPr="00517534">
            <w:rPr>
              <w:noProof/>
            </w:rPr>
            <w:t>Holzmann, Robert and Hinz, Richard</w:t>
          </w:r>
          <w:r w:rsidR="00B36458" w:rsidRPr="00517534">
            <w:rPr>
              <w:noProof/>
            </w:rPr>
            <w:t>.</w:t>
          </w:r>
          <w:r w:rsidRPr="00517534">
            <w:rPr>
              <w:noProof/>
            </w:rPr>
            <w:t xml:space="preserve"> </w:t>
          </w:r>
          <w:r w:rsidR="00B36458" w:rsidRPr="00517534">
            <w:rPr>
              <w:noProof/>
            </w:rPr>
            <w:t>(</w:t>
          </w:r>
          <w:r w:rsidRPr="00517534">
            <w:rPr>
              <w:noProof/>
            </w:rPr>
            <w:t>2005</w:t>
          </w:r>
          <w:r w:rsidR="00B36458" w:rsidRPr="00517534">
            <w:rPr>
              <w:noProof/>
            </w:rPr>
            <w:t>).</w:t>
          </w:r>
          <w:r w:rsidRPr="00517534">
            <w:rPr>
              <w:noProof/>
            </w:rPr>
            <w:t xml:space="preserve"> </w:t>
          </w:r>
          <w:r w:rsidRPr="00517534">
            <w:rPr>
              <w:i/>
              <w:iCs/>
              <w:noProof/>
            </w:rPr>
            <w:t xml:space="preserve">Old-Age Income Support in the Twenty-first Century: An International Perspective on Pension Systems and Reform </w:t>
          </w:r>
          <w:r w:rsidRPr="00517534">
            <w:rPr>
              <w:iCs/>
              <w:noProof/>
            </w:rPr>
            <w:t>(</w:t>
          </w:r>
          <w:r w:rsidRPr="00517534">
            <w:rPr>
              <w:noProof/>
            </w:rPr>
            <w:t>Washington, DC: The World Bank).</w:t>
          </w:r>
        </w:p>
        <w:p w14:paraId="5296204E" w14:textId="225214AC" w:rsidR="00B63340" w:rsidRPr="00517534" w:rsidRDefault="00B63340" w:rsidP="004B5482">
          <w:pPr>
            <w:pStyle w:val="Bibliography"/>
            <w:spacing w:line="240" w:lineRule="auto"/>
            <w:ind w:left="720" w:hanging="720"/>
            <w:rPr>
              <w:noProof/>
            </w:rPr>
          </w:pPr>
          <w:r w:rsidRPr="00517534">
            <w:rPr>
              <w:noProof/>
            </w:rPr>
            <w:t>ILO</w:t>
          </w:r>
          <w:r w:rsidR="00B36458" w:rsidRPr="00517534">
            <w:rPr>
              <w:noProof/>
            </w:rPr>
            <w:t>.</w:t>
          </w:r>
          <w:r w:rsidRPr="00517534">
            <w:rPr>
              <w:noProof/>
            </w:rPr>
            <w:t xml:space="preserve"> </w:t>
          </w:r>
          <w:r w:rsidR="00B36458" w:rsidRPr="00517534">
            <w:rPr>
              <w:noProof/>
            </w:rPr>
            <w:t>(</w:t>
          </w:r>
          <w:r w:rsidRPr="00517534">
            <w:rPr>
              <w:noProof/>
            </w:rPr>
            <w:t>2017</w:t>
          </w:r>
          <w:r w:rsidR="00B36458" w:rsidRPr="00517534">
            <w:rPr>
              <w:noProof/>
            </w:rPr>
            <w:t>).</w:t>
          </w:r>
          <w:r w:rsidRPr="00517534">
            <w:rPr>
              <w:noProof/>
            </w:rPr>
            <w:t xml:space="preserve"> </w:t>
          </w:r>
          <w:r w:rsidRPr="00517534">
            <w:rPr>
              <w:i/>
              <w:iCs/>
              <w:noProof/>
            </w:rPr>
            <w:t>World Social Protection Report 2017-19</w:t>
          </w:r>
          <w:r w:rsidRPr="00517534">
            <w:rPr>
              <w:noProof/>
            </w:rPr>
            <w:t xml:space="preserve"> (Geneva: </w:t>
          </w:r>
          <w:r w:rsidR="00B36458" w:rsidRPr="00517534">
            <w:rPr>
              <w:noProof/>
            </w:rPr>
            <w:t>International Labour Organization</w:t>
          </w:r>
          <w:r w:rsidRPr="00517534">
            <w:rPr>
              <w:noProof/>
            </w:rPr>
            <w:t>).</w:t>
          </w:r>
        </w:p>
        <w:p w14:paraId="64621F89" w14:textId="333485ED" w:rsidR="00B63340" w:rsidRPr="00517534" w:rsidRDefault="00B63340" w:rsidP="004B5482">
          <w:pPr>
            <w:pStyle w:val="Bibliography"/>
            <w:spacing w:line="240" w:lineRule="auto"/>
            <w:ind w:left="720" w:hanging="720"/>
            <w:rPr>
              <w:noProof/>
            </w:rPr>
          </w:pPr>
          <w:r w:rsidRPr="00517534">
            <w:rPr>
              <w:noProof/>
            </w:rPr>
            <w:t>IMF</w:t>
          </w:r>
          <w:r w:rsidR="00B36458" w:rsidRPr="00517534">
            <w:rPr>
              <w:noProof/>
            </w:rPr>
            <w:t>.</w:t>
          </w:r>
          <w:r w:rsidRPr="00517534">
            <w:rPr>
              <w:noProof/>
            </w:rPr>
            <w:t xml:space="preserve"> </w:t>
          </w:r>
          <w:r w:rsidR="00B36458" w:rsidRPr="00517534">
            <w:rPr>
              <w:noProof/>
            </w:rPr>
            <w:t>(</w:t>
          </w:r>
          <w:r w:rsidRPr="00517534">
            <w:rPr>
              <w:noProof/>
            </w:rPr>
            <w:t>2016</w:t>
          </w:r>
          <w:r w:rsidR="00B36458" w:rsidRPr="00517534">
            <w:rPr>
              <w:noProof/>
            </w:rPr>
            <w:t>)</w:t>
          </w:r>
          <w:r w:rsidRPr="00517534">
            <w:rPr>
              <w:noProof/>
            </w:rPr>
            <w:t xml:space="preserve"> </w:t>
          </w:r>
          <w:r w:rsidRPr="00517534">
            <w:rPr>
              <w:iCs/>
              <w:noProof/>
            </w:rPr>
            <w:t>Press Release No. 16/514. IMF Staff Concludes Visit to Kosovo with Agreement on Second and Third Review of the SBA Program</w:t>
          </w:r>
          <w:r w:rsidR="00B36458" w:rsidRPr="00517534">
            <w:rPr>
              <w:iCs/>
              <w:noProof/>
            </w:rPr>
            <w:t>,</w:t>
          </w:r>
          <w:r w:rsidRPr="00517534">
            <w:rPr>
              <w:noProof/>
            </w:rPr>
            <w:t xml:space="preserve"> in </w:t>
          </w:r>
          <w:hyperlink r:id="rId13" w:history="1">
            <w:r w:rsidRPr="00517534">
              <w:rPr>
                <w:rStyle w:val="Hyperlink"/>
                <w:noProof/>
              </w:rPr>
              <w:t>https://www.imf.org/en/News/Articles/2016/11/18/pr16514-IMF-Staff-Concludes-Visit-to-Kosovo-with-Agreement-on</w:t>
            </w:r>
          </w:hyperlink>
          <w:r w:rsidRPr="00517534">
            <w:rPr>
              <w:noProof/>
            </w:rPr>
            <w:t xml:space="preserve"> accessed </w:t>
          </w:r>
          <w:r w:rsidR="00B36458" w:rsidRPr="00517534">
            <w:rPr>
              <w:noProof/>
            </w:rPr>
            <w:t>12</w:t>
          </w:r>
          <w:r w:rsidRPr="00517534">
            <w:rPr>
              <w:noProof/>
            </w:rPr>
            <w:t xml:space="preserve"> </w:t>
          </w:r>
          <w:r w:rsidR="00B36458" w:rsidRPr="00517534">
            <w:rPr>
              <w:noProof/>
            </w:rPr>
            <w:t>November</w:t>
          </w:r>
          <w:r w:rsidRPr="00517534">
            <w:rPr>
              <w:noProof/>
            </w:rPr>
            <w:t xml:space="preserve"> 2018.</w:t>
          </w:r>
        </w:p>
        <w:p w14:paraId="0FB7BB05" w14:textId="77777777" w:rsidR="00B36458" w:rsidRPr="00517534" w:rsidRDefault="00B63340" w:rsidP="00B36458">
          <w:pPr>
            <w:pStyle w:val="Bibliography"/>
            <w:spacing w:line="240" w:lineRule="auto"/>
            <w:ind w:left="720" w:hanging="720"/>
            <w:rPr>
              <w:noProof/>
            </w:rPr>
          </w:pPr>
          <w:r w:rsidRPr="00517534">
            <w:rPr>
              <w:noProof/>
            </w:rPr>
            <w:t>IMF</w:t>
          </w:r>
          <w:r w:rsidR="00B36458" w:rsidRPr="00517534">
            <w:rPr>
              <w:noProof/>
            </w:rPr>
            <w:t>.</w:t>
          </w:r>
          <w:r w:rsidRPr="00517534">
            <w:rPr>
              <w:noProof/>
            </w:rPr>
            <w:t xml:space="preserve"> </w:t>
          </w:r>
          <w:r w:rsidR="00B36458" w:rsidRPr="00517534">
            <w:rPr>
              <w:noProof/>
            </w:rPr>
            <w:t>(</w:t>
          </w:r>
          <w:r w:rsidRPr="00517534">
            <w:rPr>
              <w:noProof/>
            </w:rPr>
            <w:t>2015</w:t>
          </w:r>
          <w:r w:rsidR="00B36458" w:rsidRPr="00517534">
            <w:rPr>
              <w:noProof/>
            </w:rPr>
            <w:t>)</w:t>
          </w:r>
          <w:r w:rsidRPr="00517534">
            <w:rPr>
              <w:noProof/>
            </w:rPr>
            <w:t xml:space="preserve"> Republic of Kosovo: First Review under the Stand-By Arrangement and Requests for Modification and Waivers of Applicability of Performance Criteria</w:t>
          </w:r>
          <w:r w:rsidR="00B36458" w:rsidRPr="00517534">
            <w:rPr>
              <w:noProof/>
            </w:rPr>
            <w:t>,</w:t>
          </w:r>
          <w:r w:rsidRPr="00517534">
            <w:rPr>
              <w:noProof/>
            </w:rPr>
            <w:t xml:space="preserve"> </w:t>
          </w:r>
          <w:r w:rsidRPr="00517534">
            <w:rPr>
              <w:i/>
              <w:iCs/>
              <w:noProof/>
            </w:rPr>
            <w:t>IMF Country Report</w:t>
          </w:r>
          <w:r w:rsidRPr="00517534">
            <w:rPr>
              <w:iCs/>
              <w:noProof/>
            </w:rPr>
            <w:t>,</w:t>
          </w:r>
          <w:r w:rsidRPr="00517534">
            <w:rPr>
              <w:i/>
              <w:iCs/>
              <w:noProof/>
            </w:rPr>
            <w:t xml:space="preserve"> </w:t>
          </w:r>
          <w:r w:rsidRPr="00517534">
            <w:rPr>
              <w:iCs/>
              <w:noProof/>
            </w:rPr>
            <w:t>No. 16/22</w:t>
          </w:r>
          <w:r w:rsidRPr="00517534">
            <w:rPr>
              <w:noProof/>
            </w:rPr>
            <w:t>.</w:t>
          </w:r>
        </w:p>
        <w:p w14:paraId="38DE464D" w14:textId="713233D6" w:rsidR="00B36458" w:rsidRPr="00517534" w:rsidRDefault="00B36458" w:rsidP="00B36458">
          <w:pPr>
            <w:pStyle w:val="Bibliography"/>
            <w:spacing w:line="240" w:lineRule="auto"/>
            <w:ind w:left="720" w:hanging="720"/>
            <w:rPr>
              <w:noProof/>
            </w:rPr>
          </w:pPr>
          <w:r w:rsidRPr="0013276E">
            <w:rPr>
              <w:lang w:val="de-DE"/>
            </w:rPr>
            <w:t xml:space="preserve">Jensen, R. T., &amp; Richter, K. (2004). </w:t>
          </w:r>
          <w:r w:rsidRPr="00517534">
            <w:t xml:space="preserve">The health implications of social security failure: evidence from the Russian pension crisis. </w:t>
          </w:r>
          <w:r w:rsidRPr="00517534">
            <w:rPr>
              <w:i/>
              <w:iCs/>
            </w:rPr>
            <w:t>Journal of Public Economics</w:t>
          </w:r>
          <w:r w:rsidRPr="00517534">
            <w:t xml:space="preserve">, </w:t>
          </w:r>
          <w:r w:rsidRPr="00517534">
            <w:rPr>
              <w:i/>
              <w:iCs/>
            </w:rPr>
            <w:t>88</w:t>
          </w:r>
          <w:r w:rsidRPr="00517534">
            <w:t>(1), 209–236.</w:t>
          </w:r>
        </w:p>
        <w:p w14:paraId="07CDB9B1" w14:textId="4272A230" w:rsidR="00B63340" w:rsidRPr="00517534" w:rsidRDefault="00B63340" w:rsidP="004B5482">
          <w:pPr>
            <w:pStyle w:val="Bibliography"/>
            <w:spacing w:line="240" w:lineRule="auto"/>
            <w:ind w:left="720" w:hanging="720"/>
            <w:rPr>
              <w:noProof/>
            </w:rPr>
          </w:pPr>
          <w:r w:rsidRPr="00517534">
            <w:rPr>
              <w:noProof/>
            </w:rPr>
            <w:t>KAS</w:t>
          </w:r>
          <w:r w:rsidR="00B36458" w:rsidRPr="00517534">
            <w:rPr>
              <w:noProof/>
            </w:rPr>
            <w:t>.</w:t>
          </w:r>
          <w:r w:rsidRPr="00517534">
            <w:rPr>
              <w:noProof/>
            </w:rPr>
            <w:t xml:space="preserve"> </w:t>
          </w:r>
          <w:r w:rsidR="00B36458" w:rsidRPr="00517534">
            <w:rPr>
              <w:noProof/>
            </w:rPr>
            <w:t>(</w:t>
          </w:r>
          <w:r w:rsidRPr="00517534">
            <w:rPr>
              <w:noProof/>
            </w:rPr>
            <w:t>2013</w:t>
          </w:r>
          <w:r w:rsidR="00B36458" w:rsidRPr="00517534">
            <w:rPr>
              <w:noProof/>
            </w:rPr>
            <w:t>).</w:t>
          </w:r>
          <w:r w:rsidRPr="00517534">
            <w:rPr>
              <w:noProof/>
            </w:rPr>
            <w:t xml:space="preserve"> </w:t>
          </w:r>
          <w:r w:rsidRPr="00517534">
            <w:rPr>
              <w:i/>
              <w:iCs/>
              <w:noProof/>
            </w:rPr>
            <w:t>Kosovo Population Projection 2011-2061</w:t>
          </w:r>
          <w:r w:rsidRPr="00517534">
            <w:rPr>
              <w:noProof/>
            </w:rPr>
            <w:t xml:space="preserve"> (Prishtina: Kosovo Agency of Statistics).</w:t>
          </w:r>
        </w:p>
        <w:p w14:paraId="15F638EB" w14:textId="356D0CCA" w:rsidR="00B020A5" w:rsidRPr="00517534" w:rsidRDefault="00B020A5" w:rsidP="00B020A5">
          <w:pPr>
            <w:pStyle w:val="Bibliography"/>
            <w:spacing w:line="240" w:lineRule="auto"/>
            <w:ind w:left="720" w:hanging="720"/>
            <w:rPr>
              <w:noProof/>
            </w:rPr>
          </w:pPr>
          <w:r w:rsidRPr="00517534">
            <w:rPr>
              <w:noProof/>
            </w:rPr>
            <w:t>KAS</w:t>
          </w:r>
          <w:r w:rsidR="00B36458" w:rsidRPr="00517534">
            <w:rPr>
              <w:noProof/>
            </w:rPr>
            <w:t>.</w:t>
          </w:r>
          <w:r w:rsidRPr="00517534">
            <w:rPr>
              <w:noProof/>
            </w:rPr>
            <w:t xml:space="preserve"> </w:t>
          </w:r>
          <w:r w:rsidR="00B36458" w:rsidRPr="00517534">
            <w:rPr>
              <w:noProof/>
            </w:rPr>
            <w:t>(</w:t>
          </w:r>
          <w:r w:rsidRPr="00517534">
            <w:rPr>
              <w:noProof/>
            </w:rPr>
            <w:t>2016</w:t>
          </w:r>
          <w:r w:rsidR="00B36458" w:rsidRPr="00517534">
            <w:rPr>
              <w:noProof/>
            </w:rPr>
            <w:t>).</w:t>
          </w:r>
          <w:r w:rsidRPr="00517534">
            <w:rPr>
              <w:noProof/>
            </w:rPr>
            <w:t xml:space="preserve"> </w:t>
          </w:r>
          <w:r w:rsidRPr="00517534">
            <w:rPr>
              <w:i/>
              <w:iCs/>
              <w:noProof/>
            </w:rPr>
            <w:t xml:space="preserve">Statistikat e mirëqenies sociale (2015) </w:t>
          </w:r>
          <w:r w:rsidRPr="00517534">
            <w:rPr>
              <w:iCs/>
              <w:noProof/>
            </w:rPr>
            <w:t>(</w:t>
          </w:r>
          <w:r w:rsidRPr="00517534">
            <w:rPr>
              <w:noProof/>
            </w:rPr>
            <w:t>Prishtina: Kosovo Agency of Statistics).</w:t>
          </w:r>
        </w:p>
        <w:p w14:paraId="31F731CE" w14:textId="77777777" w:rsidR="00B36458" w:rsidRPr="00517534" w:rsidRDefault="00B020A5" w:rsidP="00B36458">
          <w:pPr>
            <w:pStyle w:val="Bibliography"/>
            <w:spacing w:line="240" w:lineRule="auto"/>
            <w:ind w:left="720" w:hanging="720"/>
            <w:rPr>
              <w:noProof/>
            </w:rPr>
          </w:pPr>
          <w:r w:rsidRPr="00517534">
            <w:rPr>
              <w:noProof/>
            </w:rPr>
            <w:t>KAS</w:t>
          </w:r>
          <w:r w:rsidR="00B36458" w:rsidRPr="00517534">
            <w:rPr>
              <w:noProof/>
            </w:rPr>
            <w:t>.</w:t>
          </w:r>
          <w:r w:rsidRPr="00517534">
            <w:rPr>
              <w:noProof/>
            </w:rPr>
            <w:t xml:space="preserve"> </w:t>
          </w:r>
          <w:r w:rsidR="00B36458" w:rsidRPr="00517534">
            <w:rPr>
              <w:noProof/>
            </w:rPr>
            <w:t>(</w:t>
          </w:r>
          <w:r w:rsidRPr="00517534">
            <w:rPr>
              <w:noProof/>
            </w:rPr>
            <w:t>2018</w:t>
          </w:r>
          <w:r w:rsidR="00B36458" w:rsidRPr="00517534">
            <w:rPr>
              <w:noProof/>
            </w:rPr>
            <w:t>).</w:t>
          </w:r>
          <w:r w:rsidRPr="00517534">
            <w:rPr>
              <w:noProof/>
            </w:rPr>
            <w:t xml:space="preserve"> </w:t>
          </w:r>
          <w:r w:rsidRPr="00517534">
            <w:rPr>
              <w:i/>
              <w:iCs/>
              <w:noProof/>
            </w:rPr>
            <w:t xml:space="preserve">Statistikat e mirëqenies sociale (2017) </w:t>
          </w:r>
          <w:r w:rsidRPr="00517534">
            <w:rPr>
              <w:iCs/>
              <w:noProof/>
            </w:rPr>
            <w:t>(</w:t>
          </w:r>
          <w:r w:rsidRPr="00517534">
            <w:rPr>
              <w:noProof/>
            </w:rPr>
            <w:t>Prishtina: Kosovo Agency of Statistics).</w:t>
          </w:r>
        </w:p>
        <w:p w14:paraId="5212EFF3" w14:textId="30F13E7E" w:rsidR="00964813" w:rsidRPr="00517534" w:rsidRDefault="001B6212" w:rsidP="00B36458">
          <w:pPr>
            <w:pStyle w:val="Bibliography"/>
            <w:spacing w:line="240" w:lineRule="auto"/>
            <w:ind w:left="720" w:hanging="720"/>
            <w:rPr>
              <w:noProof/>
            </w:rPr>
          </w:pPr>
          <w:r w:rsidRPr="00517534">
            <w:rPr>
              <w:noProof/>
            </w:rPr>
            <w:t>Korpi, Walter</w:t>
          </w:r>
          <w:r w:rsidR="00964813" w:rsidRPr="00517534">
            <w:rPr>
              <w:noProof/>
            </w:rPr>
            <w:t xml:space="preserve"> and Palme, Joachim</w:t>
          </w:r>
          <w:r w:rsidR="00B36458" w:rsidRPr="00517534">
            <w:rPr>
              <w:noProof/>
            </w:rPr>
            <w:t xml:space="preserve">. </w:t>
          </w:r>
          <w:r w:rsidR="00B36458" w:rsidRPr="00517534">
            <w:t xml:space="preserve">(1998). The Paradox of Redistribution and Strategies of Equality: Welfare State Institutions, Inequality, and Poverty in the Western Countries. </w:t>
          </w:r>
          <w:r w:rsidR="00B36458" w:rsidRPr="00517534">
            <w:rPr>
              <w:i/>
              <w:iCs/>
            </w:rPr>
            <w:t>American Sociological Review</w:t>
          </w:r>
          <w:r w:rsidR="00B36458" w:rsidRPr="00517534">
            <w:t xml:space="preserve">, </w:t>
          </w:r>
          <w:r w:rsidR="00B36458" w:rsidRPr="00517534">
            <w:rPr>
              <w:i/>
              <w:iCs/>
            </w:rPr>
            <w:t>63</w:t>
          </w:r>
          <w:r w:rsidR="00B36458" w:rsidRPr="00517534">
            <w:t>(5), 661–687.</w:t>
          </w:r>
        </w:p>
        <w:p w14:paraId="3B8C20B5" w14:textId="2A2B47C2" w:rsidR="00B63340" w:rsidRPr="00517534" w:rsidRDefault="00B63340" w:rsidP="004B5482">
          <w:pPr>
            <w:pStyle w:val="Bibliography"/>
            <w:spacing w:line="240" w:lineRule="auto"/>
            <w:ind w:left="720" w:hanging="720"/>
            <w:rPr>
              <w:noProof/>
            </w:rPr>
          </w:pPr>
          <w:r w:rsidRPr="00517534">
            <w:rPr>
              <w:noProof/>
            </w:rPr>
            <w:t>KSI</w:t>
          </w:r>
          <w:r w:rsidR="00B36458" w:rsidRPr="00517534">
            <w:rPr>
              <w:noProof/>
            </w:rPr>
            <w:t>.</w:t>
          </w:r>
          <w:r w:rsidRPr="00517534">
            <w:rPr>
              <w:noProof/>
            </w:rPr>
            <w:t xml:space="preserve"> </w:t>
          </w:r>
          <w:r w:rsidR="00B36458" w:rsidRPr="00517534">
            <w:rPr>
              <w:noProof/>
            </w:rPr>
            <w:t>(</w:t>
          </w:r>
          <w:r w:rsidRPr="00517534">
            <w:rPr>
              <w:noProof/>
            </w:rPr>
            <w:t>2016</w:t>
          </w:r>
          <w:r w:rsidR="00B36458" w:rsidRPr="00517534">
            <w:rPr>
              <w:noProof/>
            </w:rPr>
            <w:t>).</w:t>
          </w:r>
          <w:r w:rsidRPr="00517534">
            <w:rPr>
              <w:noProof/>
            </w:rPr>
            <w:t xml:space="preserve"> </w:t>
          </w:r>
          <w:r w:rsidRPr="00517534">
            <w:rPr>
              <w:i/>
              <w:iCs/>
              <w:noProof/>
            </w:rPr>
            <w:t>Don't Fix What Ain't Broke - II. Position Paper on Pensions in Kosovo</w:t>
          </w:r>
          <w:r w:rsidRPr="00517534">
            <w:rPr>
              <w:noProof/>
            </w:rPr>
            <w:t xml:space="preserve"> (Prishtina: Kosovar Stability Initiative).</w:t>
          </w:r>
        </w:p>
        <w:p w14:paraId="09CF9B05" w14:textId="627130FF" w:rsidR="00B63340" w:rsidRPr="00517534" w:rsidRDefault="00B63340" w:rsidP="004B5482">
          <w:pPr>
            <w:pStyle w:val="Bibliography"/>
            <w:spacing w:line="240" w:lineRule="auto"/>
            <w:ind w:left="720" w:hanging="720"/>
            <w:rPr>
              <w:noProof/>
            </w:rPr>
          </w:pPr>
          <w:r w:rsidRPr="00517534">
            <w:rPr>
              <w:noProof/>
            </w:rPr>
            <w:t>Krasniqi, Florentina Xhelili and Topxhiu, Rahmije Mustafa</w:t>
          </w:r>
          <w:r w:rsidR="00B36458" w:rsidRPr="00517534">
            <w:rPr>
              <w:noProof/>
            </w:rPr>
            <w:t>.</w:t>
          </w:r>
          <w:r w:rsidRPr="00517534">
            <w:rPr>
              <w:noProof/>
            </w:rPr>
            <w:t xml:space="preserve"> </w:t>
          </w:r>
          <w:r w:rsidR="00B36458" w:rsidRPr="00517534">
            <w:rPr>
              <w:noProof/>
            </w:rPr>
            <w:t>(</w:t>
          </w:r>
          <w:r w:rsidRPr="00517534">
            <w:rPr>
              <w:noProof/>
            </w:rPr>
            <w:t>2012</w:t>
          </w:r>
          <w:r w:rsidR="002D3EE0" w:rsidRPr="00517534">
            <w:rPr>
              <w:noProof/>
            </w:rPr>
            <w:t>).</w:t>
          </w:r>
          <w:r w:rsidRPr="00517534">
            <w:rPr>
              <w:noProof/>
            </w:rPr>
            <w:t xml:space="preserve"> The Informal Economy in Kosovo: Characteristics, Current Trends and Challenges</w:t>
          </w:r>
          <w:r w:rsidR="002D3EE0" w:rsidRPr="00517534">
            <w:rPr>
              <w:noProof/>
            </w:rPr>
            <w:t>.</w:t>
          </w:r>
          <w:r w:rsidRPr="00517534">
            <w:rPr>
              <w:noProof/>
            </w:rPr>
            <w:t xml:space="preserve"> </w:t>
          </w:r>
          <w:r w:rsidRPr="00517534">
            <w:rPr>
              <w:i/>
              <w:iCs/>
              <w:noProof/>
            </w:rPr>
            <w:t>Journal of Knowledge Management, Economics and Information Technology</w:t>
          </w:r>
          <w:r w:rsidRPr="00517534">
            <w:rPr>
              <w:iCs/>
              <w:noProof/>
            </w:rPr>
            <w:t xml:space="preserve">, </w:t>
          </w:r>
          <w:r w:rsidR="002D3EE0" w:rsidRPr="00517534">
            <w:rPr>
              <w:i/>
              <w:iCs/>
              <w:noProof/>
            </w:rPr>
            <w:t>2</w:t>
          </w:r>
          <w:r w:rsidR="002D3EE0" w:rsidRPr="00517534">
            <w:rPr>
              <w:iCs/>
              <w:noProof/>
            </w:rPr>
            <w:t>(2), 1</w:t>
          </w:r>
          <w:r w:rsidR="002D3EE0" w:rsidRPr="00517534">
            <w:t>–25.</w:t>
          </w:r>
        </w:p>
        <w:p w14:paraId="7C7ACB6E" w14:textId="6698874A" w:rsidR="00B63340" w:rsidRPr="00517534" w:rsidRDefault="00B63340" w:rsidP="004B5482">
          <w:pPr>
            <w:pStyle w:val="Bibliography"/>
            <w:spacing w:line="240" w:lineRule="auto"/>
            <w:ind w:left="720" w:hanging="720"/>
            <w:rPr>
              <w:noProof/>
            </w:rPr>
          </w:pPr>
          <w:r w:rsidRPr="00517534">
            <w:rPr>
              <w:noProof/>
            </w:rPr>
            <w:lastRenderedPageBreak/>
            <w:t>Loxha, Arbëresha</w:t>
          </w:r>
          <w:r w:rsidR="002D3EE0" w:rsidRPr="00517534">
            <w:rPr>
              <w:noProof/>
            </w:rPr>
            <w:t>.</w:t>
          </w:r>
          <w:r w:rsidRPr="00517534">
            <w:rPr>
              <w:noProof/>
            </w:rPr>
            <w:t xml:space="preserve"> </w:t>
          </w:r>
          <w:r w:rsidR="002D3EE0" w:rsidRPr="00517534">
            <w:rPr>
              <w:noProof/>
            </w:rPr>
            <w:t>(</w:t>
          </w:r>
          <w:r w:rsidRPr="00517534">
            <w:rPr>
              <w:noProof/>
            </w:rPr>
            <w:t>2012</w:t>
          </w:r>
          <w:r w:rsidR="002D3EE0" w:rsidRPr="00517534">
            <w:rPr>
              <w:noProof/>
            </w:rPr>
            <w:t>).</w:t>
          </w:r>
          <w:r w:rsidRPr="00517534">
            <w:rPr>
              <w:noProof/>
            </w:rPr>
            <w:t xml:space="preserve"> Pension System in Kosovo: Review of Current State, Main Challenges and Gaps</w:t>
          </w:r>
          <w:r w:rsidR="002D3EE0" w:rsidRPr="00517534">
            <w:rPr>
              <w:noProof/>
            </w:rPr>
            <w:t>,</w:t>
          </w:r>
          <w:r w:rsidRPr="00517534">
            <w:rPr>
              <w:noProof/>
            </w:rPr>
            <w:t xml:space="preserve"> </w:t>
          </w:r>
          <w:r w:rsidRPr="00517534">
            <w:rPr>
              <w:i/>
              <w:noProof/>
            </w:rPr>
            <w:t>Group for Legal and Political Studies</w:t>
          </w:r>
          <w:r w:rsidRPr="00517534">
            <w:rPr>
              <w:i/>
              <w:iCs/>
              <w:noProof/>
            </w:rPr>
            <w:t xml:space="preserve"> Policy Report</w:t>
          </w:r>
          <w:r w:rsidRPr="00517534">
            <w:rPr>
              <w:iCs/>
              <w:noProof/>
            </w:rPr>
            <w:t>, No.</w:t>
          </w:r>
          <w:r w:rsidRPr="00517534">
            <w:rPr>
              <w:i/>
              <w:iCs/>
              <w:noProof/>
            </w:rPr>
            <w:t xml:space="preserve"> </w:t>
          </w:r>
          <w:r w:rsidRPr="00517534">
            <w:rPr>
              <w:iCs/>
              <w:noProof/>
            </w:rPr>
            <w:t>06/2012</w:t>
          </w:r>
          <w:r w:rsidRPr="00517534">
            <w:rPr>
              <w:noProof/>
            </w:rPr>
            <w:t>.</w:t>
          </w:r>
        </w:p>
        <w:p w14:paraId="0DDB3925" w14:textId="14DB3F19" w:rsidR="00B63340" w:rsidRPr="00517534" w:rsidRDefault="00B63340" w:rsidP="004B5482">
          <w:pPr>
            <w:pStyle w:val="Bibliography"/>
            <w:spacing w:line="240" w:lineRule="auto"/>
            <w:ind w:left="720" w:hanging="720"/>
            <w:rPr>
              <w:noProof/>
            </w:rPr>
          </w:pPr>
          <w:r w:rsidRPr="00517534">
            <w:rPr>
              <w:noProof/>
            </w:rPr>
            <w:t>Palacios, Robert J. and Sluchynsky, Oleksiy</w:t>
          </w:r>
          <w:r w:rsidR="002D3EE0" w:rsidRPr="00517534">
            <w:rPr>
              <w:noProof/>
            </w:rPr>
            <w:t>.</w:t>
          </w:r>
          <w:r w:rsidRPr="00517534">
            <w:rPr>
              <w:noProof/>
            </w:rPr>
            <w:t xml:space="preserve"> </w:t>
          </w:r>
          <w:r w:rsidR="002D3EE0" w:rsidRPr="00517534">
            <w:rPr>
              <w:noProof/>
            </w:rPr>
            <w:t>(</w:t>
          </w:r>
          <w:r w:rsidRPr="00517534">
            <w:rPr>
              <w:noProof/>
            </w:rPr>
            <w:t>2006</w:t>
          </w:r>
          <w:r w:rsidR="002D3EE0" w:rsidRPr="00517534">
            <w:rPr>
              <w:noProof/>
            </w:rPr>
            <w:t>).</w:t>
          </w:r>
          <w:r w:rsidRPr="00517534">
            <w:rPr>
              <w:noProof/>
            </w:rPr>
            <w:t xml:space="preserve"> Social Pensions Part I: Their Role in the Overall Pension System</w:t>
          </w:r>
          <w:r w:rsidR="002D3EE0" w:rsidRPr="00517534">
            <w:rPr>
              <w:noProof/>
            </w:rPr>
            <w:t>,</w:t>
          </w:r>
          <w:r w:rsidRPr="00517534">
            <w:rPr>
              <w:noProof/>
            </w:rPr>
            <w:t xml:space="preserve"> </w:t>
          </w:r>
          <w:r w:rsidRPr="00517534">
            <w:rPr>
              <w:i/>
              <w:noProof/>
            </w:rPr>
            <w:t xml:space="preserve">World Bank </w:t>
          </w:r>
          <w:r w:rsidRPr="00517534">
            <w:rPr>
              <w:i/>
              <w:iCs/>
              <w:noProof/>
            </w:rPr>
            <w:t>Social Protection Discussion Paper</w:t>
          </w:r>
          <w:r w:rsidRPr="00517534">
            <w:rPr>
              <w:iCs/>
              <w:noProof/>
            </w:rPr>
            <w:t>, No.</w:t>
          </w:r>
          <w:r w:rsidRPr="00517534">
            <w:rPr>
              <w:noProof/>
            </w:rPr>
            <w:t xml:space="preserve"> 0601.</w:t>
          </w:r>
        </w:p>
        <w:p w14:paraId="2E2BEF6C" w14:textId="5A444E30" w:rsidR="00B63340" w:rsidRPr="00517534" w:rsidRDefault="00B63340" w:rsidP="004B5482">
          <w:pPr>
            <w:pStyle w:val="Bibliography"/>
            <w:spacing w:line="240" w:lineRule="auto"/>
            <w:ind w:left="720" w:hanging="720"/>
            <w:rPr>
              <w:noProof/>
            </w:rPr>
          </w:pPr>
          <w:r w:rsidRPr="00517534">
            <w:rPr>
              <w:noProof/>
            </w:rPr>
            <w:t>Pierson, Paul</w:t>
          </w:r>
          <w:r w:rsidR="002D3EE0" w:rsidRPr="00517534">
            <w:rPr>
              <w:noProof/>
            </w:rPr>
            <w:t>.</w:t>
          </w:r>
          <w:r w:rsidRPr="00517534">
            <w:rPr>
              <w:noProof/>
            </w:rPr>
            <w:t xml:space="preserve"> </w:t>
          </w:r>
          <w:r w:rsidR="002D3EE0" w:rsidRPr="00517534">
            <w:rPr>
              <w:noProof/>
            </w:rPr>
            <w:t>(</w:t>
          </w:r>
          <w:r w:rsidRPr="00517534">
            <w:rPr>
              <w:noProof/>
            </w:rPr>
            <w:t>1994</w:t>
          </w:r>
          <w:r w:rsidR="002D3EE0" w:rsidRPr="00517534">
            <w:rPr>
              <w:noProof/>
            </w:rPr>
            <w:t>).</w:t>
          </w:r>
          <w:r w:rsidRPr="00517534">
            <w:rPr>
              <w:noProof/>
            </w:rPr>
            <w:t xml:space="preserve"> </w:t>
          </w:r>
          <w:r w:rsidRPr="00517534">
            <w:rPr>
              <w:i/>
              <w:iCs/>
              <w:noProof/>
            </w:rPr>
            <w:t>Dismantling the Welfare State? Reagan, Thatcher, and the Politics of Retrenchment</w:t>
          </w:r>
          <w:r w:rsidRPr="00517534">
            <w:rPr>
              <w:noProof/>
            </w:rPr>
            <w:t xml:space="preserve"> (Cambridge: CUP).</w:t>
          </w:r>
        </w:p>
        <w:p w14:paraId="668CD7CD" w14:textId="139E2763" w:rsidR="00B63340" w:rsidRPr="00517534" w:rsidRDefault="00B63340" w:rsidP="004B5482">
          <w:pPr>
            <w:pStyle w:val="Bibliography"/>
            <w:spacing w:line="240" w:lineRule="auto"/>
            <w:ind w:left="720" w:hanging="720"/>
            <w:rPr>
              <w:noProof/>
            </w:rPr>
          </w:pPr>
          <w:r w:rsidRPr="00517534">
            <w:rPr>
              <w:noProof/>
            </w:rPr>
            <w:t>Quirezi, Arben</w:t>
          </w:r>
          <w:r w:rsidR="002D3EE0" w:rsidRPr="00517534">
            <w:rPr>
              <w:noProof/>
            </w:rPr>
            <w:t>.</w:t>
          </w:r>
          <w:r w:rsidRPr="00517534">
            <w:rPr>
              <w:noProof/>
            </w:rPr>
            <w:t xml:space="preserve"> </w:t>
          </w:r>
          <w:r w:rsidR="002D3EE0" w:rsidRPr="00517534">
            <w:rPr>
              <w:noProof/>
            </w:rPr>
            <w:t>(</w:t>
          </w:r>
          <w:r w:rsidRPr="00517534">
            <w:rPr>
              <w:noProof/>
            </w:rPr>
            <w:t>2016</w:t>
          </w:r>
          <w:r w:rsidR="002D3EE0" w:rsidRPr="00517534">
            <w:rPr>
              <w:noProof/>
            </w:rPr>
            <w:t xml:space="preserve">). </w:t>
          </w:r>
          <w:r w:rsidRPr="00517534">
            <w:rPr>
              <w:noProof/>
            </w:rPr>
            <w:t>Kosovo Budget Held up by Row Over Veteran Benefits</w:t>
          </w:r>
          <w:r w:rsidR="002D3EE0" w:rsidRPr="00517534">
            <w:rPr>
              <w:noProof/>
            </w:rPr>
            <w:t>,</w:t>
          </w:r>
          <w:r w:rsidRPr="00517534">
            <w:rPr>
              <w:noProof/>
            </w:rPr>
            <w:t xml:space="preserve"> in </w:t>
          </w:r>
          <w:r w:rsidRPr="00517534">
            <w:rPr>
              <w:i/>
              <w:iCs/>
              <w:noProof/>
            </w:rPr>
            <w:t>Balkan Insight.</w:t>
          </w:r>
          <w:r w:rsidRPr="00517534">
            <w:rPr>
              <w:noProof/>
            </w:rPr>
            <w:t xml:space="preserve"> </w:t>
          </w:r>
        </w:p>
        <w:p w14:paraId="443FBDF2" w14:textId="353634A5" w:rsidR="00B63340" w:rsidRPr="00517534" w:rsidRDefault="00B63340" w:rsidP="004B5482">
          <w:pPr>
            <w:pStyle w:val="Bibliography"/>
            <w:spacing w:line="240" w:lineRule="auto"/>
            <w:ind w:left="720" w:hanging="720"/>
            <w:rPr>
              <w:noProof/>
            </w:rPr>
          </w:pPr>
          <w:r w:rsidRPr="00517534">
            <w:rPr>
              <w:noProof/>
            </w:rPr>
            <w:t>Robalino, David A. and Holzmann, Robert</w:t>
          </w:r>
          <w:r w:rsidR="002D3EE0" w:rsidRPr="00517534">
            <w:rPr>
              <w:noProof/>
            </w:rPr>
            <w:t>.</w:t>
          </w:r>
          <w:r w:rsidRPr="00517534">
            <w:rPr>
              <w:noProof/>
            </w:rPr>
            <w:t xml:space="preserve"> </w:t>
          </w:r>
          <w:r w:rsidR="002D3EE0" w:rsidRPr="00517534">
            <w:rPr>
              <w:noProof/>
            </w:rPr>
            <w:t>(</w:t>
          </w:r>
          <w:r w:rsidRPr="00517534">
            <w:rPr>
              <w:noProof/>
            </w:rPr>
            <w:t>2009</w:t>
          </w:r>
          <w:r w:rsidR="002D3EE0" w:rsidRPr="00517534">
            <w:rPr>
              <w:noProof/>
            </w:rPr>
            <w:t xml:space="preserve">). </w:t>
          </w:r>
          <w:r w:rsidRPr="00517534">
            <w:rPr>
              <w:noProof/>
            </w:rPr>
            <w:t>Overview and Preliminary Policy Guidance</w:t>
          </w:r>
          <w:r w:rsidR="002D3EE0" w:rsidRPr="00517534">
            <w:rPr>
              <w:noProof/>
            </w:rPr>
            <w:t xml:space="preserve">, in Holzmann, Robert, Robalino, David A. and Takayama, Noriyuki (eds) </w:t>
          </w:r>
          <w:r w:rsidR="002D3EE0" w:rsidRPr="00517534">
            <w:rPr>
              <w:i/>
              <w:iCs/>
              <w:noProof/>
            </w:rPr>
            <w:t>Closing the Coverage Gap: Role of Social Pensions and Other Retirement Income Transfers</w:t>
          </w:r>
          <w:r w:rsidR="002D3EE0" w:rsidRPr="00517534">
            <w:rPr>
              <w:noProof/>
            </w:rPr>
            <w:t xml:space="preserve"> (Washington, DC: The World Bank).</w:t>
          </w:r>
        </w:p>
        <w:p w14:paraId="60D5F53A" w14:textId="77777777" w:rsidR="002D3EE0" w:rsidRPr="00517534" w:rsidRDefault="00B63340" w:rsidP="002D3EE0">
          <w:pPr>
            <w:pStyle w:val="Bibliography"/>
            <w:spacing w:line="240" w:lineRule="auto"/>
            <w:ind w:left="720" w:hanging="720"/>
          </w:pPr>
          <w:r w:rsidRPr="0013276E">
            <w:rPr>
              <w:noProof/>
              <w:lang w:val="de-DE"/>
            </w:rPr>
            <w:t>Roelen, Keetie and Gassmann, Franziska</w:t>
          </w:r>
          <w:r w:rsidR="002D3EE0" w:rsidRPr="0013276E">
            <w:rPr>
              <w:lang w:val="de-DE"/>
            </w:rPr>
            <w:t xml:space="preserve">. </w:t>
          </w:r>
          <w:r w:rsidR="002D3EE0" w:rsidRPr="00517534">
            <w:t xml:space="preserve">(2011). How effective can efficient be? Social assistance in Kosovo and what it means for children. </w:t>
          </w:r>
          <w:r w:rsidR="002D3EE0" w:rsidRPr="00517534">
            <w:rPr>
              <w:i/>
              <w:iCs/>
            </w:rPr>
            <w:t>Journal of European Social Policy</w:t>
          </w:r>
          <w:r w:rsidR="002D3EE0" w:rsidRPr="00517534">
            <w:t xml:space="preserve">, </w:t>
          </w:r>
          <w:r w:rsidR="002D3EE0" w:rsidRPr="00517534">
            <w:rPr>
              <w:i/>
              <w:iCs/>
            </w:rPr>
            <w:t>21</w:t>
          </w:r>
          <w:r w:rsidR="002D3EE0" w:rsidRPr="00517534">
            <w:t>(3), 238–252.</w:t>
          </w:r>
        </w:p>
        <w:p w14:paraId="6E878469" w14:textId="7F251EA9" w:rsidR="00B63340" w:rsidRPr="00517534" w:rsidRDefault="00B63340" w:rsidP="002D3EE0">
          <w:pPr>
            <w:pStyle w:val="Bibliography"/>
            <w:spacing w:line="240" w:lineRule="auto"/>
            <w:ind w:left="720" w:hanging="720"/>
            <w:rPr>
              <w:noProof/>
            </w:rPr>
          </w:pPr>
          <w:r w:rsidRPr="00517534">
            <w:rPr>
              <w:noProof/>
            </w:rPr>
            <w:t>Rofman, Rafael, Apella, Ignacio and Vezza, Evelyn</w:t>
          </w:r>
          <w:r w:rsidR="002D3EE0" w:rsidRPr="00517534">
            <w:rPr>
              <w:noProof/>
            </w:rPr>
            <w:t>.</w:t>
          </w:r>
          <w:r w:rsidRPr="00517534">
            <w:rPr>
              <w:noProof/>
            </w:rPr>
            <w:t xml:space="preserve"> </w:t>
          </w:r>
          <w:r w:rsidR="002D3EE0" w:rsidRPr="00517534">
            <w:rPr>
              <w:noProof/>
            </w:rPr>
            <w:t>(</w:t>
          </w:r>
          <w:r w:rsidRPr="00517534">
            <w:rPr>
              <w:noProof/>
            </w:rPr>
            <w:t>2015</w:t>
          </w:r>
          <w:r w:rsidR="002D3EE0" w:rsidRPr="00517534">
            <w:rPr>
              <w:noProof/>
            </w:rPr>
            <w:t xml:space="preserve">). </w:t>
          </w:r>
          <w:r w:rsidRPr="00517534">
            <w:rPr>
              <w:noProof/>
            </w:rPr>
            <w:t>Introduction and Overview</w:t>
          </w:r>
          <w:r w:rsidR="002D3EE0" w:rsidRPr="00517534">
            <w:rPr>
              <w:noProof/>
            </w:rPr>
            <w:t>,</w:t>
          </w:r>
          <w:r w:rsidRPr="00517534">
            <w:rPr>
              <w:noProof/>
            </w:rPr>
            <w:t xml:space="preserve"> in Rofman, Rafael, Apella, Ignacio and Vezza, Evelyn (eds) </w:t>
          </w:r>
          <w:r w:rsidRPr="00517534">
            <w:rPr>
              <w:i/>
              <w:iCs/>
              <w:noProof/>
            </w:rPr>
            <w:t>Beyond Pension Reform. Fourteen Experiences with Coverage Expansion in Latin America</w:t>
          </w:r>
          <w:r w:rsidRPr="00517534">
            <w:rPr>
              <w:noProof/>
            </w:rPr>
            <w:t xml:space="preserve"> (Buenos Aires: The World Bank).</w:t>
          </w:r>
        </w:p>
        <w:p w14:paraId="5FEFAB2D" w14:textId="35A5EEE3" w:rsidR="00B63340" w:rsidRPr="00517534" w:rsidRDefault="00B63340" w:rsidP="004B5482">
          <w:pPr>
            <w:pStyle w:val="Bibliography"/>
            <w:spacing w:line="240" w:lineRule="auto"/>
            <w:ind w:left="720" w:hanging="720"/>
            <w:rPr>
              <w:noProof/>
            </w:rPr>
          </w:pPr>
          <w:r w:rsidRPr="00517534">
            <w:rPr>
              <w:noProof/>
            </w:rPr>
            <w:t xml:space="preserve">Schneider, Friedrich, Buehn, Andreas and Montenegro, Claudio E. </w:t>
          </w:r>
          <w:r w:rsidR="002D3EE0" w:rsidRPr="00517534">
            <w:rPr>
              <w:noProof/>
            </w:rPr>
            <w:t>(</w:t>
          </w:r>
          <w:r w:rsidRPr="00517534">
            <w:rPr>
              <w:noProof/>
            </w:rPr>
            <w:t>2010</w:t>
          </w:r>
          <w:r w:rsidR="002D3EE0" w:rsidRPr="00517534">
            <w:rPr>
              <w:noProof/>
            </w:rPr>
            <w:t xml:space="preserve">). </w:t>
          </w:r>
          <w:r w:rsidRPr="00517534">
            <w:rPr>
              <w:noProof/>
            </w:rPr>
            <w:t>Shadow Economies All over the World: New Estimates for 162 Countries from 1999 to 2007</w:t>
          </w:r>
          <w:r w:rsidR="002D3EE0" w:rsidRPr="00517534">
            <w:rPr>
              <w:noProof/>
            </w:rPr>
            <w:t>,</w:t>
          </w:r>
          <w:r w:rsidRPr="00517534">
            <w:rPr>
              <w:noProof/>
            </w:rPr>
            <w:t xml:space="preserve"> </w:t>
          </w:r>
          <w:r w:rsidRPr="00517534">
            <w:rPr>
              <w:i/>
              <w:noProof/>
            </w:rPr>
            <w:t>World Bank</w:t>
          </w:r>
          <w:r w:rsidRPr="00517534">
            <w:rPr>
              <w:noProof/>
            </w:rPr>
            <w:t xml:space="preserve"> </w:t>
          </w:r>
          <w:r w:rsidRPr="00517534">
            <w:rPr>
              <w:i/>
              <w:iCs/>
              <w:noProof/>
            </w:rPr>
            <w:t>Policy Research Working Paper</w:t>
          </w:r>
          <w:r w:rsidRPr="00517534">
            <w:rPr>
              <w:iCs/>
              <w:noProof/>
            </w:rPr>
            <w:t>, No.</w:t>
          </w:r>
          <w:r w:rsidRPr="00517534">
            <w:rPr>
              <w:i/>
              <w:iCs/>
              <w:noProof/>
            </w:rPr>
            <w:t xml:space="preserve"> </w:t>
          </w:r>
          <w:r w:rsidRPr="00517534">
            <w:rPr>
              <w:iCs/>
              <w:noProof/>
            </w:rPr>
            <w:t>5356</w:t>
          </w:r>
          <w:r w:rsidRPr="00517534">
            <w:rPr>
              <w:noProof/>
            </w:rPr>
            <w:t>.</w:t>
          </w:r>
        </w:p>
        <w:p w14:paraId="3997FCD2" w14:textId="77777777" w:rsidR="002D3EE0" w:rsidRPr="00517534" w:rsidRDefault="00B63340" w:rsidP="002D3EE0">
          <w:pPr>
            <w:pStyle w:val="Bibliography"/>
            <w:spacing w:line="240" w:lineRule="auto"/>
            <w:ind w:left="720" w:hanging="720"/>
          </w:pPr>
          <w:r w:rsidRPr="00517534">
            <w:rPr>
              <w:noProof/>
            </w:rPr>
            <w:t>Skendaj, Elton</w:t>
          </w:r>
          <w:r w:rsidR="002D3EE0" w:rsidRPr="00517534">
            <w:t xml:space="preserve">. (2014). International Insulation from Politics and the Challenge of State Building: Learning from Kosovo. </w:t>
          </w:r>
          <w:r w:rsidR="002D3EE0" w:rsidRPr="00517534">
            <w:rPr>
              <w:i/>
              <w:iCs/>
            </w:rPr>
            <w:t>Global Governance: A Review of Multilateralism and International Organizations</w:t>
          </w:r>
          <w:r w:rsidR="002D3EE0" w:rsidRPr="00517534">
            <w:t xml:space="preserve">, </w:t>
          </w:r>
          <w:r w:rsidR="002D3EE0" w:rsidRPr="00517534">
            <w:rPr>
              <w:i/>
              <w:iCs/>
            </w:rPr>
            <w:t>20</w:t>
          </w:r>
          <w:r w:rsidR="002D3EE0" w:rsidRPr="00517534">
            <w:t>(3), 459–481.</w:t>
          </w:r>
        </w:p>
        <w:p w14:paraId="75F76B20" w14:textId="5A623859" w:rsidR="00B63340" w:rsidRPr="00517534" w:rsidRDefault="00B63340" w:rsidP="002D3EE0">
          <w:pPr>
            <w:pStyle w:val="Bibliography"/>
            <w:spacing w:line="240" w:lineRule="auto"/>
            <w:ind w:left="720" w:hanging="720"/>
            <w:rPr>
              <w:noProof/>
            </w:rPr>
          </w:pPr>
          <w:r w:rsidRPr="00517534">
            <w:rPr>
              <w:noProof/>
            </w:rPr>
            <w:t>Sluchynsky, Oleksiy</w:t>
          </w:r>
          <w:r w:rsidR="002D3EE0" w:rsidRPr="00517534">
            <w:rPr>
              <w:noProof/>
            </w:rPr>
            <w:t>.</w:t>
          </w:r>
          <w:r w:rsidRPr="00517534">
            <w:rPr>
              <w:noProof/>
            </w:rPr>
            <w:t xml:space="preserve"> </w:t>
          </w:r>
          <w:r w:rsidR="002D3EE0" w:rsidRPr="00517534">
            <w:rPr>
              <w:noProof/>
            </w:rPr>
            <w:t>(</w:t>
          </w:r>
          <w:r w:rsidRPr="00517534">
            <w:rPr>
              <w:noProof/>
            </w:rPr>
            <w:t>2009</w:t>
          </w:r>
          <w:r w:rsidR="002D3EE0" w:rsidRPr="00517534">
            <w:rPr>
              <w:noProof/>
            </w:rPr>
            <w:t xml:space="preserve">). </w:t>
          </w:r>
          <w:r w:rsidRPr="00517534">
            <w:rPr>
              <w:noProof/>
            </w:rPr>
            <w:t>Administration of Social Pension Programs</w:t>
          </w:r>
          <w:r w:rsidR="002D3EE0" w:rsidRPr="00517534">
            <w:rPr>
              <w:noProof/>
            </w:rPr>
            <w:t xml:space="preserve">, in Holzmann, Robert, Robalino, David A. and Takayama, Noriyuki (eds) </w:t>
          </w:r>
          <w:r w:rsidR="002D3EE0" w:rsidRPr="00517534">
            <w:rPr>
              <w:i/>
              <w:iCs/>
              <w:noProof/>
            </w:rPr>
            <w:t>Closing the Coverage Gap: Role of Social Pensions and Other Retirement Income Transfers</w:t>
          </w:r>
          <w:r w:rsidR="002D3EE0" w:rsidRPr="00517534">
            <w:rPr>
              <w:noProof/>
            </w:rPr>
            <w:t xml:space="preserve"> (Washington, DC: The World Bank).</w:t>
          </w:r>
        </w:p>
        <w:p w14:paraId="2FD5AA4E" w14:textId="2180AF73" w:rsidR="00B917FD" w:rsidRPr="00517534" w:rsidRDefault="00B63340" w:rsidP="004B5482">
          <w:pPr>
            <w:pStyle w:val="Bibliography"/>
            <w:spacing w:line="240" w:lineRule="auto"/>
            <w:ind w:left="720" w:hanging="720"/>
            <w:rPr>
              <w:noProof/>
            </w:rPr>
          </w:pPr>
          <w:r w:rsidRPr="00517534">
            <w:rPr>
              <w:noProof/>
            </w:rPr>
            <w:t>Taborda, Luis Ernesto</w:t>
          </w:r>
          <w:r w:rsidR="002D3EE0" w:rsidRPr="00517534">
            <w:rPr>
              <w:noProof/>
            </w:rPr>
            <w:t>.</w:t>
          </w:r>
          <w:r w:rsidRPr="00517534">
            <w:rPr>
              <w:noProof/>
            </w:rPr>
            <w:t xml:space="preserve"> </w:t>
          </w:r>
          <w:r w:rsidR="002D3EE0" w:rsidRPr="00517534">
            <w:rPr>
              <w:noProof/>
            </w:rPr>
            <w:t>(</w:t>
          </w:r>
          <w:r w:rsidRPr="00517534">
            <w:rPr>
              <w:noProof/>
            </w:rPr>
            <w:t>2017</w:t>
          </w:r>
          <w:r w:rsidR="002D3EE0" w:rsidRPr="00517534">
            <w:rPr>
              <w:noProof/>
            </w:rPr>
            <w:t>).</w:t>
          </w:r>
          <w:r w:rsidRPr="00517534">
            <w:rPr>
              <w:noProof/>
            </w:rPr>
            <w:t xml:space="preserve"> </w:t>
          </w:r>
          <w:r w:rsidRPr="00517534">
            <w:rPr>
              <w:i/>
              <w:iCs/>
              <w:noProof/>
            </w:rPr>
            <w:t xml:space="preserve">Sick Healthcare Systems: Clientelism and the development of healthcare  systems in Italy and Colombia, PhD Dissertation </w:t>
          </w:r>
          <w:r w:rsidRPr="00517534">
            <w:rPr>
              <w:iCs/>
              <w:noProof/>
            </w:rPr>
            <w:t>(</w:t>
          </w:r>
          <w:r w:rsidRPr="00517534">
            <w:rPr>
              <w:noProof/>
            </w:rPr>
            <w:t>Odense: University of Southern Denmark).</w:t>
          </w:r>
        </w:p>
        <w:p w14:paraId="34224E24" w14:textId="77777777" w:rsidR="002D3EE0" w:rsidRPr="00517534" w:rsidRDefault="002D3EE0" w:rsidP="002D3EE0">
          <w:pPr>
            <w:pStyle w:val="Bibliography"/>
            <w:spacing w:line="240" w:lineRule="auto"/>
            <w:ind w:left="720" w:hanging="720"/>
          </w:pPr>
          <w:r w:rsidRPr="00517534">
            <w:t>UN.</w:t>
          </w:r>
          <w:r w:rsidR="00B917FD" w:rsidRPr="00517534">
            <w:t xml:space="preserve"> </w:t>
          </w:r>
          <w:r w:rsidRPr="00517534">
            <w:t>(</w:t>
          </w:r>
          <w:r w:rsidR="00B917FD" w:rsidRPr="00517534">
            <w:t>2015</w:t>
          </w:r>
          <w:r w:rsidRPr="00517534">
            <w:t>).</w:t>
          </w:r>
          <w:r w:rsidR="00B917FD" w:rsidRPr="00517534">
            <w:t xml:space="preserve"> </w:t>
          </w:r>
          <w:r w:rsidR="00B917FD" w:rsidRPr="00517534">
            <w:rPr>
              <w:i/>
            </w:rPr>
            <w:t>World Population Prospects: The 2015 Revision</w:t>
          </w:r>
          <w:r w:rsidR="00B917FD" w:rsidRPr="00517534">
            <w:t xml:space="preserve"> (New York: </w:t>
          </w:r>
          <w:r w:rsidRPr="00517534">
            <w:t xml:space="preserve">United Nations </w:t>
          </w:r>
          <w:r w:rsidR="00B917FD" w:rsidRPr="00517534">
            <w:t>Department for Economic and Social Affairs, Population Division)</w:t>
          </w:r>
        </w:p>
        <w:p w14:paraId="2F4C7147" w14:textId="22A28EAE" w:rsidR="002D3EE0" w:rsidRPr="00517534" w:rsidRDefault="00B63340" w:rsidP="002D3EE0">
          <w:pPr>
            <w:pStyle w:val="Bibliography"/>
            <w:spacing w:line="240" w:lineRule="auto"/>
            <w:ind w:left="720" w:hanging="720"/>
          </w:pPr>
          <w:r w:rsidRPr="00517534">
            <w:rPr>
              <w:noProof/>
            </w:rPr>
            <w:t>Weaver, Kent R</w:t>
          </w:r>
          <w:r w:rsidR="001B6212" w:rsidRPr="00517534">
            <w:rPr>
              <w:noProof/>
            </w:rPr>
            <w:t>.</w:t>
          </w:r>
          <w:r w:rsidRPr="00517534">
            <w:rPr>
              <w:noProof/>
            </w:rPr>
            <w:t xml:space="preserve"> </w:t>
          </w:r>
          <w:r w:rsidR="002D3EE0" w:rsidRPr="00517534">
            <w:t xml:space="preserve">(1986). The Politics of Blame Avoidance. </w:t>
          </w:r>
          <w:r w:rsidR="002D3EE0" w:rsidRPr="00517534">
            <w:rPr>
              <w:i/>
              <w:iCs/>
            </w:rPr>
            <w:t>Journal of Public Policy</w:t>
          </w:r>
          <w:r w:rsidR="002D3EE0" w:rsidRPr="00517534">
            <w:t xml:space="preserve">, </w:t>
          </w:r>
          <w:r w:rsidR="002D3EE0" w:rsidRPr="00517534">
            <w:rPr>
              <w:i/>
              <w:iCs/>
            </w:rPr>
            <w:t>6</w:t>
          </w:r>
          <w:r w:rsidR="002D3EE0" w:rsidRPr="00517534">
            <w:t>(4), 371–398.</w:t>
          </w:r>
        </w:p>
        <w:p w14:paraId="58750052" w14:textId="7092156A" w:rsidR="00B63340" w:rsidRPr="00517534" w:rsidRDefault="00B63340" w:rsidP="002D3EE0">
          <w:pPr>
            <w:pStyle w:val="Bibliography"/>
            <w:spacing w:line="240" w:lineRule="auto"/>
            <w:ind w:left="720" w:hanging="720"/>
          </w:pPr>
          <w:r w:rsidRPr="00517534">
            <w:rPr>
              <w:noProof/>
            </w:rPr>
            <w:t>Willmore, Larry</w:t>
          </w:r>
          <w:r w:rsidR="002D3EE0" w:rsidRPr="00517534">
            <w:t xml:space="preserve">. (2007). Universal Pensions for Developing Countries. </w:t>
          </w:r>
          <w:r w:rsidR="002D3EE0" w:rsidRPr="00517534">
            <w:rPr>
              <w:i/>
              <w:iCs/>
            </w:rPr>
            <w:t>World Development</w:t>
          </w:r>
          <w:r w:rsidR="002D3EE0" w:rsidRPr="00517534">
            <w:t xml:space="preserve">, </w:t>
          </w:r>
          <w:r w:rsidR="002D3EE0" w:rsidRPr="00517534">
            <w:rPr>
              <w:i/>
              <w:iCs/>
            </w:rPr>
            <w:t>35</w:t>
          </w:r>
          <w:r w:rsidR="002D3EE0" w:rsidRPr="00517534">
            <w:t>(1), 24–51.</w:t>
          </w:r>
        </w:p>
      </w:sdtContent>
    </w:sdt>
    <w:p w14:paraId="1B9A2E32" w14:textId="77777777" w:rsidR="00B63340" w:rsidRPr="00517534" w:rsidRDefault="00B63340" w:rsidP="004B5482">
      <w:pPr>
        <w:rPr>
          <w:lang w:val="en-GB"/>
        </w:rPr>
      </w:pPr>
    </w:p>
    <w:sectPr w:rsidR="00B63340" w:rsidRPr="00517534" w:rsidSect="00D33C4A">
      <w:footnotePr>
        <w:numRestart w:val="eachSect"/>
      </w:footnotePr>
      <w:endnotePr>
        <w:numFmt w:val="decimal"/>
      </w:endnotePr>
      <w:pgSz w:w="11906" w:h="16838"/>
      <w:pgMar w:top="1440" w:right="1440" w:bottom="1440" w:left="1440" w:header="0" w:footer="709" w:gutter="0"/>
      <w:cols w:space="720"/>
      <w:formProt w:val="0"/>
      <w:docGrid w:linePitch="24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gor Guardiancich" w:date="2018-11-08T14:02:00Z" w:initials="IG">
    <w:p w14:paraId="6A10FC57" w14:textId="77777777" w:rsidR="00E10229" w:rsidRDefault="00E10229">
      <w:pPr>
        <w:pStyle w:val="CommentText"/>
      </w:pPr>
      <w:r>
        <w:rPr>
          <w:rStyle w:val="CommentReference"/>
        </w:rPr>
        <w:annotationRef/>
      </w:r>
      <w:r>
        <w:t>Insert some LM indicators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10FC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0FC57" w16cid:durableId="1F8EC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0ADA" w14:textId="77777777" w:rsidR="003F053C" w:rsidRDefault="003F053C" w:rsidP="008C1DE2">
      <w:r>
        <w:separator/>
      </w:r>
    </w:p>
  </w:endnote>
  <w:endnote w:type="continuationSeparator" w:id="0">
    <w:p w14:paraId="67C472E9" w14:textId="77777777" w:rsidR="003F053C" w:rsidRDefault="003F053C" w:rsidP="008C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7950" w14:textId="77777777" w:rsidR="00E10229" w:rsidRDefault="00E10229" w:rsidP="008C1DE2">
    <w:pPr>
      <w:pStyle w:val="Footer"/>
    </w:pPr>
    <w:r>
      <w:rPr>
        <w:noProof/>
        <w:lang w:val="it-IT"/>
      </w:rPr>
      <mc:AlternateContent>
        <mc:Choice Requires="wps">
          <w:drawing>
            <wp:anchor distT="0" distB="0" distL="0" distR="0" simplePos="0" relativeHeight="251659264" behindDoc="1" locked="0" layoutInCell="1" allowOverlap="1" wp14:anchorId="7C033092" wp14:editId="216B4003">
              <wp:simplePos x="0" y="0"/>
              <wp:positionH relativeFrom="margin">
                <wp:align>right</wp:align>
              </wp:positionH>
              <wp:positionV relativeFrom="paragraph">
                <wp:posOffset>635</wp:posOffset>
              </wp:positionV>
              <wp:extent cx="608965" cy="26289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08965" cy="262890"/>
                      </a:xfrm>
                      <a:prstGeom prst="rect">
                        <a:avLst/>
                      </a:prstGeom>
                      <a:noFill/>
                      <a:ln>
                        <a:noFill/>
                      </a:ln>
                    </wps:spPr>
                    <wps:style>
                      <a:lnRef idx="0">
                        <a:scrgbClr r="0" g="0" b="0"/>
                      </a:lnRef>
                      <a:fillRef idx="0">
                        <a:scrgbClr r="0" g="0" b="0"/>
                      </a:fillRef>
                      <a:effectRef idx="0">
                        <a:scrgbClr r="0" g="0" b="0"/>
                      </a:effectRef>
                      <a:fontRef idx="minor"/>
                    </wps:style>
                    <wps:txbx>
                      <w:txbxContent>
                        <w:p w14:paraId="3C2C65A6" w14:textId="77777777" w:rsidR="00E10229" w:rsidRDefault="00E10229" w:rsidP="008C1DE2">
                          <w:pPr>
                            <w:pStyle w:val="Footer"/>
                          </w:pPr>
                          <w:r>
                            <w:rPr>
                              <w:color w:val="000000"/>
                            </w:rPr>
                            <w:fldChar w:fldCharType="begin"/>
                          </w:r>
                          <w:r>
                            <w:instrText>PAGE</w:instrText>
                          </w:r>
                          <w:r>
                            <w:fldChar w:fldCharType="separate"/>
                          </w:r>
                          <w:r>
                            <w:rPr>
                              <w:noProof/>
                            </w:rPr>
                            <w:t>4</w:t>
                          </w:r>
                          <w:r>
                            <w:fldChar w:fldCharType="end"/>
                          </w:r>
                        </w:p>
                      </w:txbxContent>
                    </wps:txbx>
                    <wps:bodyPr lIns="0" tIns="0" rIns="0" bIns="0">
                      <a:spAutoFit/>
                    </wps:bodyPr>
                  </wps:wsp>
                </a:graphicData>
              </a:graphic>
            </wp:anchor>
          </w:drawing>
        </mc:Choice>
        <mc:Fallback>
          <w:pict>
            <v:rect w14:anchorId="7C033092" id="Frame1" o:spid="_x0000_s1026" style="position:absolute;left:0;text-align:left;margin-left:-3.25pt;margin-top:.05pt;width:47.95pt;height:20.7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" filled="f" stroked="f">
              <v:textbox style="mso-fit-shape-to-text:t" inset="0,0,0,0">
                <w:txbxContent>
                  <w:p w14:paraId="3C2C65A6" w14:textId="77777777" w:rsidR="00E10229" w:rsidRDefault="00E10229" w:rsidP="008C1DE2">
                    <w:pPr>
                      <w:pStyle w:val="Pidipagina"/>
                    </w:pPr>
                    <w:r>
                      <w:rPr>
                        <w:color w:val="000000"/>
                      </w:rPr>
                      <w:fldChar w:fldCharType="begin"/>
                    </w:r>
                    <w:r>
                      <w:instrText>PAGE</w:instrText>
                    </w:r>
                    <w:r>
                      <w:fldChar w:fldCharType="separate"/>
                    </w:r>
                    <w:r>
                      <w:rPr>
                        <w:noProof/>
                      </w:rPr>
                      <w:t>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5273" w14:textId="77777777" w:rsidR="003F053C" w:rsidRDefault="003F053C" w:rsidP="008C1DE2">
      <w:r>
        <w:separator/>
      </w:r>
    </w:p>
  </w:footnote>
  <w:footnote w:type="continuationSeparator" w:id="0">
    <w:p w14:paraId="7CEB63E5" w14:textId="77777777" w:rsidR="003F053C" w:rsidRDefault="003F053C" w:rsidP="008C1DE2">
      <w:r>
        <w:continuationSeparator/>
      </w:r>
    </w:p>
  </w:footnote>
  <w:footnote w:id="1">
    <w:p w14:paraId="2A836704" w14:textId="77777777" w:rsidR="00E10229" w:rsidRPr="00730126" w:rsidRDefault="00E10229" w:rsidP="004B5482">
      <w:pPr>
        <w:pStyle w:val="FootnoteText"/>
        <w:spacing w:line="240" w:lineRule="auto"/>
        <w:rPr>
          <w:sz w:val="24"/>
          <w:szCs w:val="24"/>
          <w:vertAlign w:val="baseline"/>
          <w:lang w:val="en-US"/>
        </w:rPr>
      </w:pPr>
      <w:r w:rsidRPr="00177E94">
        <w:rPr>
          <w:rStyle w:val="FootnoteReference"/>
          <w:sz w:val="24"/>
          <w:szCs w:val="24"/>
        </w:rPr>
        <w:footnoteRef/>
      </w:r>
      <w:r w:rsidRPr="00177E94">
        <w:rPr>
          <w:sz w:val="24"/>
          <w:szCs w:val="24"/>
        </w:rPr>
        <w:t xml:space="preserve"> </w:t>
      </w:r>
      <w:r>
        <w:rPr>
          <w:sz w:val="24"/>
          <w:szCs w:val="24"/>
          <w:vertAlign w:val="baseline"/>
        </w:rPr>
        <w:t xml:space="preserve">Researcher at the </w:t>
      </w:r>
      <w:proofErr w:type="spellStart"/>
      <w:r>
        <w:rPr>
          <w:sz w:val="24"/>
          <w:szCs w:val="24"/>
          <w:vertAlign w:val="baseline"/>
        </w:rPr>
        <w:t>Sant’Anna</w:t>
      </w:r>
      <w:proofErr w:type="spellEnd"/>
      <w:r>
        <w:rPr>
          <w:sz w:val="24"/>
          <w:szCs w:val="24"/>
          <w:vertAlign w:val="baseline"/>
        </w:rPr>
        <w:t xml:space="preserve"> School for Advanced Studies, Pisa, Italy.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1F3"/>
    <w:multiLevelType w:val="hybridMultilevel"/>
    <w:tmpl w:val="F3406C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9123FE"/>
    <w:multiLevelType w:val="multilevel"/>
    <w:tmpl w:val="228CDC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A97103"/>
    <w:multiLevelType w:val="multilevel"/>
    <w:tmpl w:val="675827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0A67DC"/>
    <w:multiLevelType w:val="multilevel"/>
    <w:tmpl w:val="C20484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604872"/>
    <w:multiLevelType w:val="multilevel"/>
    <w:tmpl w:val="A02AD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F55DB5"/>
    <w:multiLevelType w:val="multilevel"/>
    <w:tmpl w:val="504AC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24FA2"/>
    <w:multiLevelType w:val="multilevel"/>
    <w:tmpl w:val="DBCCC5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437FC6"/>
    <w:multiLevelType w:val="multilevel"/>
    <w:tmpl w:val="32AC54CA"/>
    <w:lvl w:ilvl="0">
      <w:start w:val="1"/>
      <w:numFmt w:val="bullet"/>
      <w:lvlText w:val=""/>
      <w:lvlJc w:val="left"/>
      <w:pPr>
        <w:ind w:left="1146"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C4821AD"/>
    <w:multiLevelType w:val="multilevel"/>
    <w:tmpl w:val="3B429E5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4D0965"/>
    <w:multiLevelType w:val="multilevel"/>
    <w:tmpl w:val="189C61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A746445"/>
    <w:multiLevelType w:val="multilevel"/>
    <w:tmpl w:val="EBEA23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E440CC"/>
    <w:multiLevelType w:val="multilevel"/>
    <w:tmpl w:val="2F7E4D9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11"/>
  </w:num>
  <w:num w:numId="5">
    <w:abstractNumId w:val="7"/>
  </w:num>
  <w:num w:numId="6">
    <w:abstractNumId w:val="3"/>
  </w:num>
  <w:num w:numId="7">
    <w:abstractNumId w:val="10"/>
  </w:num>
  <w:num w:numId="8">
    <w:abstractNumId w:val="2"/>
  </w:num>
  <w:num w:numId="9">
    <w:abstractNumId w:val="9"/>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E2"/>
    <w:rsid w:val="0001371F"/>
    <w:rsid w:val="000173A2"/>
    <w:rsid w:val="00017D6B"/>
    <w:rsid w:val="00020CDA"/>
    <w:rsid w:val="00022E71"/>
    <w:rsid w:val="00047F75"/>
    <w:rsid w:val="00065686"/>
    <w:rsid w:val="00066304"/>
    <w:rsid w:val="00093244"/>
    <w:rsid w:val="000A4557"/>
    <w:rsid w:val="000C4140"/>
    <w:rsid w:val="0013276E"/>
    <w:rsid w:val="001549E6"/>
    <w:rsid w:val="001670F1"/>
    <w:rsid w:val="001722B3"/>
    <w:rsid w:val="00177E94"/>
    <w:rsid w:val="001B6212"/>
    <w:rsid w:val="001D71CE"/>
    <w:rsid w:val="001D7A48"/>
    <w:rsid w:val="001F122E"/>
    <w:rsid w:val="00206D68"/>
    <w:rsid w:val="002334B1"/>
    <w:rsid w:val="002A25F1"/>
    <w:rsid w:val="002A5031"/>
    <w:rsid w:val="002D3EE0"/>
    <w:rsid w:val="002E15DA"/>
    <w:rsid w:val="002E7F04"/>
    <w:rsid w:val="0031157A"/>
    <w:rsid w:val="0037423C"/>
    <w:rsid w:val="003C271B"/>
    <w:rsid w:val="003E1E90"/>
    <w:rsid w:val="003F053C"/>
    <w:rsid w:val="00403624"/>
    <w:rsid w:val="0044541C"/>
    <w:rsid w:val="00453479"/>
    <w:rsid w:val="00476A07"/>
    <w:rsid w:val="00492B3A"/>
    <w:rsid w:val="004B3AF9"/>
    <w:rsid w:val="004B5482"/>
    <w:rsid w:val="004D3631"/>
    <w:rsid w:val="004E74B3"/>
    <w:rsid w:val="004E79FF"/>
    <w:rsid w:val="00503EF9"/>
    <w:rsid w:val="00517534"/>
    <w:rsid w:val="00546E97"/>
    <w:rsid w:val="005A3D02"/>
    <w:rsid w:val="005F26A1"/>
    <w:rsid w:val="005F2840"/>
    <w:rsid w:val="0064570B"/>
    <w:rsid w:val="0067783A"/>
    <w:rsid w:val="006973C5"/>
    <w:rsid w:val="006A06D5"/>
    <w:rsid w:val="006A3864"/>
    <w:rsid w:val="006A76DF"/>
    <w:rsid w:val="006B2B4C"/>
    <w:rsid w:val="006C677C"/>
    <w:rsid w:val="006F1873"/>
    <w:rsid w:val="00717FC1"/>
    <w:rsid w:val="00730126"/>
    <w:rsid w:val="00762D49"/>
    <w:rsid w:val="00764EFF"/>
    <w:rsid w:val="00771E9C"/>
    <w:rsid w:val="0085213C"/>
    <w:rsid w:val="008877B7"/>
    <w:rsid w:val="008A1202"/>
    <w:rsid w:val="008A48DE"/>
    <w:rsid w:val="008B40DB"/>
    <w:rsid w:val="008C1DE2"/>
    <w:rsid w:val="008D1791"/>
    <w:rsid w:val="008E67DB"/>
    <w:rsid w:val="00903831"/>
    <w:rsid w:val="009207BC"/>
    <w:rsid w:val="0094331D"/>
    <w:rsid w:val="00950A89"/>
    <w:rsid w:val="00964813"/>
    <w:rsid w:val="009877DF"/>
    <w:rsid w:val="00995DD8"/>
    <w:rsid w:val="009B2B98"/>
    <w:rsid w:val="009E7DCC"/>
    <w:rsid w:val="00A1731A"/>
    <w:rsid w:val="00A224F9"/>
    <w:rsid w:val="00A23424"/>
    <w:rsid w:val="00A70B9E"/>
    <w:rsid w:val="00A81B43"/>
    <w:rsid w:val="00AA2137"/>
    <w:rsid w:val="00AA36C1"/>
    <w:rsid w:val="00AA4AA4"/>
    <w:rsid w:val="00AB4481"/>
    <w:rsid w:val="00AB6F53"/>
    <w:rsid w:val="00AF1496"/>
    <w:rsid w:val="00AF1A74"/>
    <w:rsid w:val="00B009FB"/>
    <w:rsid w:val="00B020A5"/>
    <w:rsid w:val="00B12F7E"/>
    <w:rsid w:val="00B31E07"/>
    <w:rsid w:val="00B36458"/>
    <w:rsid w:val="00B4782D"/>
    <w:rsid w:val="00B613ED"/>
    <w:rsid w:val="00B63340"/>
    <w:rsid w:val="00B64285"/>
    <w:rsid w:val="00B917FD"/>
    <w:rsid w:val="00C17F08"/>
    <w:rsid w:val="00C5131A"/>
    <w:rsid w:val="00C55D1C"/>
    <w:rsid w:val="00C91A0F"/>
    <w:rsid w:val="00D33C4A"/>
    <w:rsid w:val="00E10229"/>
    <w:rsid w:val="00E2062E"/>
    <w:rsid w:val="00E96F97"/>
    <w:rsid w:val="00EB4463"/>
    <w:rsid w:val="00EB724C"/>
    <w:rsid w:val="00EC007D"/>
    <w:rsid w:val="00F12758"/>
    <w:rsid w:val="00F41E72"/>
    <w:rsid w:val="00F84353"/>
    <w:rsid w:val="00F91036"/>
    <w:rsid w:val="00FB3D53"/>
    <w:rsid w:val="00FB6488"/>
    <w:rsid w:val="00FC4598"/>
    <w:rsid w:val="00FF2978"/>
    <w:rsid w:val="00FF78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3C63EA"/>
  <w15:chartTrackingRefBased/>
  <w15:docId w15:val="{47111C20-3D66-1242-8164-B70DDAD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EE0"/>
    <w:rPr>
      <w:rFonts w:ascii="Times New Roman" w:eastAsia="Times New Roman" w:hAnsi="Times New Roman" w:cs="Times New Roman"/>
      <w:lang w:eastAsia="it-IT"/>
    </w:rPr>
  </w:style>
  <w:style w:type="paragraph" w:styleId="Heading1">
    <w:name w:val="heading 1"/>
    <w:basedOn w:val="Normal"/>
    <w:next w:val="Normal"/>
    <w:link w:val="Heading1Char1"/>
    <w:autoRedefine/>
    <w:uiPriority w:val="9"/>
    <w:qFormat/>
    <w:rsid w:val="004B5482"/>
    <w:pPr>
      <w:keepNext/>
      <w:spacing w:before="240" w:after="120"/>
      <w:jc w:val="both"/>
      <w:outlineLvl w:val="0"/>
    </w:pPr>
    <w:rPr>
      <w:b/>
      <w:color w:val="00000A"/>
      <w:lang w:val="en-GB"/>
    </w:rPr>
  </w:style>
  <w:style w:type="paragraph" w:styleId="Heading2">
    <w:name w:val="heading 2"/>
    <w:basedOn w:val="Normal"/>
    <w:next w:val="Normal"/>
    <w:link w:val="Heading2Char1"/>
    <w:autoRedefine/>
    <w:qFormat/>
    <w:rsid w:val="00A81B43"/>
    <w:pPr>
      <w:keepNext/>
      <w:spacing w:before="240" w:after="120" w:line="480" w:lineRule="auto"/>
      <w:ind w:left="576" w:hanging="576"/>
      <w:jc w:val="both"/>
      <w:outlineLvl w:val="1"/>
    </w:pPr>
    <w:rPr>
      <w:b/>
      <w:color w:val="00000A"/>
      <w:sz w:val="20"/>
      <w:szCs w:val="20"/>
      <w:lang w:val="en-GB"/>
    </w:rPr>
  </w:style>
  <w:style w:type="paragraph" w:styleId="Heading3">
    <w:name w:val="heading 3"/>
    <w:basedOn w:val="Normal"/>
    <w:next w:val="Normal"/>
    <w:link w:val="Heading3Char1"/>
    <w:autoRedefine/>
    <w:qFormat/>
    <w:rsid w:val="00A81B43"/>
    <w:pPr>
      <w:keepNext/>
      <w:spacing w:before="240" w:after="60" w:line="480" w:lineRule="auto"/>
      <w:ind w:left="720" w:hanging="720"/>
      <w:jc w:val="both"/>
      <w:outlineLvl w:val="2"/>
    </w:pPr>
    <w:rPr>
      <w:i/>
      <w:color w:val="00000A"/>
      <w:sz w:val="20"/>
      <w:szCs w:val="20"/>
      <w:lang w:val="en-GB"/>
    </w:rPr>
  </w:style>
  <w:style w:type="paragraph" w:styleId="Heading4">
    <w:name w:val="heading 4"/>
    <w:basedOn w:val="Normal"/>
    <w:next w:val="Normal"/>
    <w:link w:val="Heading4Char1"/>
    <w:autoRedefine/>
    <w:qFormat/>
    <w:rsid w:val="008C1DE2"/>
    <w:pPr>
      <w:keepNext/>
      <w:numPr>
        <w:ilvl w:val="3"/>
        <w:numId w:val="8"/>
      </w:numPr>
      <w:tabs>
        <w:tab w:val="left" w:pos="360"/>
      </w:tabs>
      <w:spacing w:before="240" w:after="60" w:line="360" w:lineRule="auto"/>
      <w:jc w:val="both"/>
      <w:outlineLvl w:val="3"/>
    </w:pPr>
    <w:rPr>
      <w:b/>
      <w:color w:val="00000A"/>
      <w:szCs w:val="28"/>
      <w:lang w:val="en-GB"/>
    </w:rPr>
  </w:style>
  <w:style w:type="paragraph" w:styleId="Heading5">
    <w:name w:val="heading 5"/>
    <w:basedOn w:val="Normal"/>
    <w:next w:val="Normal"/>
    <w:link w:val="Heading5Char1"/>
    <w:qFormat/>
    <w:rsid w:val="008C1DE2"/>
    <w:pPr>
      <w:numPr>
        <w:ilvl w:val="4"/>
        <w:numId w:val="8"/>
      </w:numPr>
      <w:spacing w:before="240" w:after="60" w:line="360" w:lineRule="auto"/>
      <w:jc w:val="both"/>
      <w:outlineLvl w:val="4"/>
    </w:pPr>
    <w:rPr>
      <w:b/>
      <w:color w:val="00000A"/>
      <w:szCs w:val="26"/>
      <w:lang w:val="en-GB"/>
    </w:rPr>
  </w:style>
  <w:style w:type="paragraph" w:styleId="Heading6">
    <w:name w:val="heading 6"/>
    <w:basedOn w:val="Normal"/>
    <w:next w:val="Normal"/>
    <w:link w:val="Heading6Char1"/>
    <w:qFormat/>
    <w:rsid w:val="008C1DE2"/>
    <w:pPr>
      <w:numPr>
        <w:ilvl w:val="5"/>
        <w:numId w:val="8"/>
      </w:numPr>
      <w:spacing w:before="240" w:after="60" w:line="360" w:lineRule="auto"/>
      <w:jc w:val="both"/>
      <w:outlineLvl w:val="5"/>
    </w:pPr>
    <w:rPr>
      <w:b/>
      <w:color w:val="00000A"/>
      <w:sz w:val="22"/>
      <w:szCs w:val="22"/>
      <w:lang w:val="en-GB"/>
    </w:rPr>
  </w:style>
  <w:style w:type="paragraph" w:styleId="Heading7">
    <w:name w:val="heading 7"/>
    <w:basedOn w:val="Normal"/>
    <w:next w:val="Normal"/>
    <w:link w:val="Heading7Char1"/>
    <w:qFormat/>
    <w:rsid w:val="008C1DE2"/>
    <w:pPr>
      <w:numPr>
        <w:ilvl w:val="6"/>
        <w:numId w:val="8"/>
      </w:numPr>
      <w:spacing w:before="240" w:after="60" w:line="360" w:lineRule="auto"/>
      <w:jc w:val="both"/>
      <w:outlineLvl w:val="6"/>
    </w:pPr>
    <w:rPr>
      <w:color w:val="00000A"/>
      <w:lang w:val="en-GB"/>
    </w:rPr>
  </w:style>
  <w:style w:type="paragraph" w:styleId="Heading8">
    <w:name w:val="heading 8"/>
    <w:basedOn w:val="Normal"/>
    <w:next w:val="Normal"/>
    <w:link w:val="Heading8Char1"/>
    <w:qFormat/>
    <w:rsid w:val="008C1DE2"/>
    <w:pPr>
      <w:numPr>
        <w:ilvl w:val="7"/>
        <w:numId w:val="8"/>
      </w:numPr>
      <w:spacing w:before="240" w:after="60" w:line="360" w:lineRule="auto"/>
      <w:jc w:val="both"/>
      <w:outlineLvl w:val="7"/>
    </w:pPr>
    <w:rPr>
      <w:i/>
      <w:color w:val="00000A"/>
      <w:lang w:val="en-GB"/>
    </w:rPr>
  </w:style>
  <w:style w:type="paragraph" w:styleId="Heading9">
    <w:name w:val="heading 9"/>
    <w:basedOn w:val="Normal"/>
    <w:next w:val="Normal"/>
    <w:link w:val="Heading9Char1"/>
    <w:qFormat/>
    <w:rsid w:val="008C1DE2"/>
    <w:pPr>
      <w:numPr>
        <w:ilvl w:val="8"/>
        <w:numId w:val="8"/>
      </w:numPr>
      <w:spacing w:before="240" w:after="60" w:line="360" w:lineRule="auto"/>
      <w:jc w:val="both"/>
      <w:outlineLvl w:val="8"/>
    </w:pPr>
    <w:rPr>
      <w:rFonts w:ascii="Arial" w:hAnsi="Arial"/>
      <w:color w:val="00000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
    <w:name w:val="List Table 2"/>
    <w:basedOn w:val="TableNormal"/>
    <w:uiPriority w:val="47"/>
    <w:rsid w:val="008C1DE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1">
    <w:name w:val="Heading 1 Char1"/>
    <w:basedOn w:val="DefaultParagraphFont"/>
    <w:link w:val="Heading1"/>
    <w:uiPriority w:val="9"/>
    <w:rsid w:val="004B5482"/>
    <w:rPr>
      <w:rFonts w:ascii="Times New Roman" w:eastAsia="Times New Roman" w:hAnsi="Times New Roman" w:cs="Times New Roman"/>
      <w:b/>
      <w:color w:val="00000A"/>
      <w:lang w:val="en-GB" w:eastAsia="it-IT"/>
    </w:rPr>
  </w:style>
  <w:style w:type="character" w:customStyle="1" w:styleId="Heading2Char1">
    <w:name w:val="Heading 2 Char1"/>
    <w:basedOn w:val="DefaultParagraphFont"/>
    <w:link w:val="Heading2"/>
    <w:rsid w:val="00A81B43"/>
    <w:rPr>
      <w:rFonts w:ascii="Times New Roman" w:eastAsia="Times New Roman" w:hAnsi="Times New Roman" w:cs="Times New Roman"/>
      <w:b/>
      <w:color w:val="00000A"/>
      <w:sz w:val="20"/>
      <w:szCs w:val="20"/>
      <w:lang w:val="en-GB" w:eastAsia="it-IT"/>
    </w:rPr>
  </w:style>
  <w:style w:type="character" w:customStyle="1" w:styleId="Heading3Char1">
    <w:name w:val="Heading 3 Char1"/>
    <w:basedOn w:val="DefaultParagraphFont"/>
    <w:link w:val="Heading3"/>
    <w:rsid w:val="00A81B43"/>
    <w:rPr>
      <w:rFonts w:ascii="Times New Roman" w:eastAsia="Times New Roman" w:hAnsi="Times New Roman" w:cs="Times New Roman"/>
      <w:i/>
      <w:color w:val="00000A"/>
      <w:sz w:val="20"/>
      <w:szCs w:val="20"/>
      <w:lang w:val="en-GB" w:eastAsia="it-IT"/>
    </w:rPr>
  </w:style>
  <w:style w:type="character" w:customStyle="1" w:styleId="Heading4Char1">
    <w:name w:val="Heading 4 Char1"/>
    <w:basedOn w:val="DefaultParagraphFont"/>
    <w:link w:val="Heading4"/>
    <w:rsid w:val="008C1DE2"/>
    <w:rPr>
      <w:rFonts w:ascii="Times New Roman" w:eastAsia="Times New Roman" w:hAnsi="Times New Roman" w:cs="Times New Roman"/>
      <w:b/>
      <w:color w:val="00000A"/>
      <w:szCs w:val="28"/>
      <w:lang w:val="en-GB" w:eastAsia="it-IT"/>
    </w:rPr>
  </w:style>
  <w:style w:type="character" w:customStyle="1" w:styleId="Heading5Char1">
    <w:name w:val="Heading 5 Char1"/>
    <w:basedOn w:val="DefaultParagraphFont"/>
    <w:link w:val="Heading5"/>
    <w:rsid w:val="008C1DE2"/>
    <w:rPr>
      <w:rFonts w:ascii="Times New Roman" w:eastAsia="Times New Roman" w:hAnsi="Times New Roman" w:cs="Times New Roman"/>
      <w:b/>
      <w:color w:val="00000A"/>
      <w:szCs w:val="26"/>
      <w:lang w:val="en-GB" w:eastAsia="it-IT"/>
    </w:rPr>
  </w:style>
  <w:style w:type="character" w:customStyle="1" w:styleId="Heading6Char1">
    <w:name w:val="Heading 6 Char1"/>
    <w:basedOn w:val="DefaultParagraphFont"/>
    <w:link w:val="Heading6"/>
    <w:rsid w:val="008C1DE2"/>
    <w:rPr>
      <w:rFonts w:ascii="Times New Roman" w:eastAsia="Times New Roman" w:hAnsi="Times New Roman" w:cs="Times New Roman"/>
      <w:b/>
      <w:color w:val="00000A"/>
      <w:sz w:val="22"/>
      <w:szCs w:val="22"/>
      <w:lang w:val="en-GB" w:eastAsia="it-IT"/>
    </w:rPr>
  </w:style>
  <w:style w:type="character" w:customStyle="1" w:styleId="Heading7Char1">
    <w:name w:val="Heading 7 Char1"/>
    <w:basedOn w:val="DefaultParagraphFont"/>
    <w:link w:val="Heading7"/>
    <w:rsid w:val="008C1DE2"/>
    <w:rPr>
      <w:rFonts w:ascii="Times New Roman" w:eastAsia="Times New Roman" w:hAnsi="Times New Roman" w:cs="Times New Roman"/>
      <w:color w:val="00000A"/>
      <w:lang w:val="en-GB" w:eastAsia="it-IT"/>
    </w:rPr>
  </w:style>
  <w:style w:type="character" w:customStyle="1" w:styleId="Heading8Char1">
    <w:name w:val="Heading 8 Char1"/>
    <w:basedOn w:val="DefaultParagraphFont"/>
    <w:link w:val="Heading8"/>
    <w:rsid w:val="008C1DE2"/>
    <w:rPr>
      <w:rFonts w:ascii="Times New Roman" w:eastAsia="Times New Roman" w:hAnsi="Times New Roman" w:cs="Times New Roman"/>
      <w:i/>
      <w:color w:val="00000A"/>
      <w:lang w:val="en-GB" w:eastAsia="it-IT"/>
    </w:rPr>
  </w:style>
  <w:style w:type="character" w:customStyle="1" w:styleId="Heading9Char1">
    <w:name w:val="Heading 9 Char1"/>
    <w:basedOn w:val="DefaultParagraphFont"/>
    <w:link w:val="Heading9"/>
    <w:rsid w:val="008C1DE2"/>
    <w:rPr>
      <w:rFonts w:ascii="Arial" w:eastAsia="Times New Roman" w:hAnsi="Arial" w:cs="Times New Roman"/>
      <w:color w:val="00000A"/>
      <w:sz w:val="22"/>
      <w:szCs w:val="22"/>
      <w:lang w:val="en-GB" w:eastAsia="it-IT"/>
    </w:rPr>
  </w:style>
  <w:style w:type="character" w:customStyle="1" w:styleId="BalloonTextChar">
    <w:name w:val="Balloon Text Char"/>
    <w:basedOn w:val="DefaultParagraphFont"/>
    <w:qFormat/>
    <w:rsid w:val="008C1DE2"/>
    <w:rPr>
      <w:rFonts w:ascii="Lucida Grande" w:eastAsia="Times New Roman" w:hAnsi="Lucida Grande" w:cs="Times New Roman"/>
      <w:sz w:val="18"/>
      <w:szCs w:val="18"/>
      <w:lang w:eastAsia="it-IT"/>
    </w:rPr>
  </w:style>
  <w:style w:type="character" w:styleId="CommentReference">
    <w:name w:val="annotation reference"/>
    <w:basedOn w:val="DefaultParagraphFont"/>
    <w:qFormat/>
    <w:rsid w:val="008C1DE2"/>
    <w:rPr>
      <w:sz w:val="18"/>
    </w:rPr>
  </w:style>
  <w:style w:type="character" w:customStyle="1" w:styleId="CommentTextChar">
    <w:name w:val="Comment Text Char"/>
    <w:basedOn w:val="DefaultParagraphFont"/>
    <w:qFormat/>
    <w:rsid w:val="008C1DE2"/>
    <w:rPr>
      <w:rFonts w:ascii="Times New Roman" w:eastAsia="Times New Roman" w:hAnsi="Times New Roman" w:cs="Times New Roman"/>
      <w:sz w:val="24"/>
      <w:szCs w:val="24"/>
      <w:lang w:eastAsia="it-IT"/>
    </w:rPr>
  </w:style>
  <w:style w:type="character" w:customStyle="1" w:styleId="CommentSubjectChar">
    <w:name w:val="Comment Subject Char"/>
    <w:basedOn w:val="CommentTextChar"/>
    <w:qFormat/>
    <w:rsid w:val="008C1DE2"/>
    <w:rPr>
      <w:rFonts w:ascii="Times New Roman" w:eastAsia="Times New Roman" w:hAnsi="Times New Roman" w:cs="Times New Roman"/>
      <w:sz w:val="24"/>
      <w:szCs w:val="24"/>
      <w:lang w:eastAsia="it-IT"/>
    </w:rPr>
  </w:style>
  <w:style w:type="character" w:customStyle="1" w:styleId="DocumentMapChar">
    <w:name w:val="Document Map Char"/>
    <w:basedOn w:val="DefaultParagraphFont"/>
    <w:qFormat/>
    <w:rsid w:val="008C1DE2"/>
    <w:rPr>
      <w:rFonts w:ascii="Lucida Grande" w:eastAsia="Times New Roman" w:hAnsi="Lucida Grande" w:cs="Times New Roman"/>
      <w:sz w:val="24"/>
      <w:szCs w:val="24"/>
      <w:highlight w:val="blue"/>
      <w:lang w:eastAsia="it-IT"/>
    </w:rPr>
  </w:style>
  <w:style w:type="character" w:styleId="FollowedHyperlink">
    <w:name w:val="FollowedHyperlink"/>
    <w:basedOn w:val="DefaultParagraphFont"/>
    <w:qFormat/>
    <w:rsid w:val="008C1DE2"/>
    <w:rPr>
      <w:color w:val="800080"/>
      <w:u w:val="single"/>
    </w:rPr>
  </w:style>
  <w:style w:type="character" w:customStyle="1" w:styleId="FooterChar">
    <w:name w:val="Footer Char"/>
    <w:basedOn w:val="DefaultParagraphFont"/>
    <w:qFormat/>
    <w:rsid w:val="008C1DE2"/>
    <w:rPr>
      <w:rFonts w:ascii="Times New Roman" w:eastAsia="Times New Roman" w:hAnsi="Times New Roman" w:cs="Times New Roman"/>
      <w:sz w:val="24"/>
      <w:szCs w:val="24"/>
      <w:lang w:eastAsia="it-IT"/>
    </w:rPr>
  </w:style>
  <w:style w:type="character" w:styleId="FootnoteReference">
    <w:name w:val="footnote reference"/>
    <w:aliases w:val="Footnote text,ftref,BVI fnr,FNRefe,16 Point,Superscript 6 Point"/>
    <w:basedOn w:val="DefaultParagraphFont"/>
    <w:uiPriority w:val="99"/>
    <w:qFormat/>
    <w:rsid w:val="008C1DE2"/>
    <w:rPr>
      <w:vertAlign w:val="superscript"/>
    </w:rPr>
  </w:style>
  <w:style w:type="character" w:customStyle="1" w:styleId="FootnoteTextChar">
    <w:name w:val="Footnote Text Char"/>
    <w:basedOn w:val="DefaultParagraphFont"/>
    <w:qFormat/>
    <w:rsid w:val="008C1DE2"/>
    <w:rPr>
      <w:szCs w:val="24"/>
      <w:lang w:eastAsia="it-IT"/>
    </w:rPr>
  </w:style>
  <w:style w:type="character" w:customStyle="1" w:styleId="HeaderChar">
    <w:name w:val="Header Char"/>
    <w:basedOn w:val="DefaultParagraphFont"/>
    <w:qFormat/>
    <w:rsid w:val="008C1DE2"/>
    <w:rPr>
      <w:rFonts w:ascii="Times New Roman" w:eastAsia="Times New Roman" w:hAnsi="Times New Roman" w:cs="Times New Roman"/>
      <w:sz w:val="24"/>
      <w:szCs w:val="24"/>
      <w:lang w:eastAsia="it-IT"/>
    </w:rPr>
  </w:style>
  <w:style w:type="character" w:customStyle="1" w:styleId="Heading1Char">
    <w:name w:val="Heading 1 Char"/>
    <w:basedOn w:val="DefaultParagraphFont"/>
    <w:qFormat/>
    <w:rsid w:val="008C1DE2"/>
    <w:rPr>
      <w:b/>
      <w:szCs w:val="32"/>
    </w:rPr>
  </w:style>
  <w:style w:type="character" w:customStyle="1" w:styleId="Heading2Char">
    <w:name w:val="Heading 2 Char"/>
    <w:basedOn w:val="DefaultParagraphFont"/>
    <w:qFormat/>
    <w:rsid w:val="008C1DE2"/>
    <w:rPr>
      <w:rFonts w:ascii="Times New Roman" w:eastAsia="Times New Roman" w:hAnsi="Times New Roman" w:cs="Times New Roman"/>
      <w:b/>
      <w:i/>
      <w:sz w:val="24"/>
      <w:szCs w:val="28"/>
      <w:lang w:eastAsia="it-IT"/>
    </w:rPr>
  </w:style>
  <w:style w:type="character" w:customStyle="1" w:styleId="Heading3Char">
    <w:name w:val="Heading 3 Char"/>
    <w:basedOn w:val="DefaultParagraphFont"/>
    <w:qFormat/>
    <w:rsid w:val="008C1DE2"/>
    <w:rPr>
      <w:rFonts w:ascii="Times New Roman" w:eastAsia="Times New Roman" w:hAnsi="Times New Roman" w:cs="Times New Roman"/>
      <w:i/>
      <w:sz w:val="24"/>
      <w:szCs w:val="26"/>
      <w:lang w:eastAsia="it-IT"/>
    </w:rPr>
  </w:style>
  <w:style w:type="character" w:customStyle="1" w:styleId="Heading4Char">
    <w:name w:val="Heading 4 Char"/>
    <w:basedOn w:val="DefaultParagraphFont"/>
    <w:qFormat/>
    <w:rsid w:val="008C1DE2"/>
    <w:rPr>
      <w:rFonts w:ascii="Times New Roman" w:eastAsia="Times New Roman" w:hAnsi="Times New Roman" w:cs="Times New Roman"/>
      <w:b/>
      <w:sz w:val="24"/>
      <w:szCs w:val="28"/>
      <w:lang w:eastAsia="it-IT"/>
    </w:rPr>
  </w:style>
  <w:style w:type="character" w:customStyle="1" w:styleId="Heading5Char">
    <w:name w:val="Heading 5 Char"/>
    <w:basedOn w:val="DefaultParagraphFont"/>
    <w:qFormat/>
    <w:rsid w:val="008C1DE2"/>
    <w:rPr>
      <w:rFonts w:ascii="Times New Roman" w:eastAsia="Times New Roman" w:hAnsi="Times New Roman" w:cs="Times New Roman"/>
      <w:b/>
      <w:sz w:val="24"/>
      <w:szCs w:val="26"/>
      <w:lang w:eastAsia="it-IT"/>
    </w:rPr>
  </w:style>
  <w:style w:type="character" w:customStyle="1" w:styleId="Heading6Char">
    <w:name w:val="Heading 6 Char"/>
    <w:basedOn w:val="DefaultParagraphFont"/>
    <w:qFormat/>
    <w:rsid w:val="008C1DE2"/>
    <w:rPr>
      <w:rFonts w:ascii="Times New Roman" w:eastAsia="Times New Roman" w:hAnsi="Times New Roman" w:cs="Times New Roman"/>
      <w:b/>
      <w:sz w:val="22"/>
      <w:szCs w:val="22"/>
      <w:lang w:eastAsia="it-IT"/>
    </w:rPr>
  </w:style>
  <w:style w:type="character" w:customStyle="1" w:styleId="Heading7Char">
    <w:name w:val="Heading 7 Char"/>
    <w:basedOn w:val="DefaultParagraphFont"/>
    <w:qFormat/>
    <w:rsid w:val="008C1DE2"/>
    <w:rPr>
      <w:rFonts w:ascii="Times New Roman" w:eastAsia="Times New Roman" w:hAnsi="Times New Roman" w:cs="Times New Roman"/>
      <w:sz w:val="24"/>
      <w:szCs w:val="24"/>
      <w:lang w:eastAsia="it-IT"/>
    </w:rPr>
  </w:style>
  <w:style w:type="character" w:customStyle="1" w:styleId="Heading8Char">
    <w:name w:val="Heading 8 Char"/>
    <w:basedOn w:val="DefaultParagraphFont"/>
    <w:qFormat/>
    <w:rsid w:val="008C1DE2"/>
    <w:rPr>
      <w:rFonts w:ascii="Times New Roman" w:eastAsia="Times New Roman" w:hAnsi="Times New Roman" w:cs="Times New Roman"/>
      <w:i/>
      <w:sz w:val="24"/>
      <w:szCs w:val="24"/>
      <w:lang w:eastAsia="it-IT"/>
    </w:rPr>
  </w:style>
  <w:style w:type="character" w:customStyle="1" w:styleId="Heading9Char">
    <w:name w:val="Heading 9 Char"/>
    <w:basedOn w:val="DefaultParagraphFont"/>
    <w:qFormat/>
    <w:rsid w:val="008C1DE2"/>
    <w:rPr>
      <w:rFonts w:ascii="Arial" w:eastAsia="Times New Roman" w:hAnsi="Arial" w:cs="Times New Roman"/>
      <w:sz w:val="22"/>
      <w:szCs w:val="22"/>
      <w:lang w:eastAsia="it-IT"/>
    </w:rPr>
  </w:style>
  <w:style w:type="character" w:customStyle="1" w:styleId="InternetLink">
    <w:name w:val="Internet Link"/>
    <w:basedOn w:val="DefaultParagraphFont"/>
    <w:rsid w:val="008C1DE2"/>
    <w:rPr>
      <w:color w:val="0000FF"/>
      <w:u w:val="single"/>
    </w:rPr>
  </w:style>
  <w:style w:type="character" w:styleId="PageNumber">
    <w:name w:val="page number"/>
    <w:basedOn w:val="DefaultParagraphFont"/>
    <w:qFormat/>
    <w:rsid w:val="008C1DE2"/>
  </w:style>
  <w:style w:type="character" w:customStyle="1" w:styleId="FootnoteCharacters">
    <w:name w:val="Footnote Characters"/>
    <w:qFormat/>
    <w:rsid w:val="008C1DE2"/>
  </w:style>
  <w:style w:type="character" w:customStyle="1" w:styleId="FootnoteAnchor">
    <w:name w:val="Footnote Anchor"/>
    <w:rsid w:val="008C1DE2"/>
    <w:rPr>
      <w:vertAlign w:val="superscript"/>
    </w:rPr>
  </w:style>
  <w:style w:type="character" w:customStyle="1" w:styleId="EndnoteAnchor">
    <w:name w:val="Endnote Anchor"/>
    <w:rsid w:val="008C1DE2"/>
    <w:rPr>
      <w:vertAlign w:val="superscript"/>
    </w:rPr>
  </w:style>
  <w:style w:type="character" w:customStyle="1" w:styleId="EndnoteCharacters">
    <w:name w:val="Endnote Characters"/>
    <w:qFormat/>
    <w:rsid w:val="008C1DE2"/>
  </w:style>
  <w:style w:type="character" w:customStyle="1" w:styleId="ListLabel1">
    <w:name w:val="ListLabel 1"/>
    <w:qFormat/>
    <w:rsid w:val="008C1DE2"/>
    <w:rPr>
      <w:rFonts w:cs="Symbol"/>
    </w:rPr>
  </w:style>
  <w:style w:type="character" w:customStyle="1" w:styleId="ListLabel2">
    <w:name w:val="ListLabel 2"/>
    <w:qFormat/>
    <w:rsid w:val="008C1DE2"/>
    <w:rPr>
      <w:rFonts w:cs="Courier New"/>
    </w:rPr>
  </w:style>
  <w:style w:type="character" w:customStyle="1" w:styleId="ListLabel3">
    <w:name w:val="ListLabel 3"/>
    <w:qFormat/>
    <w:rsid w:val="008C1DE2"/>
    <w:rPr>
      <w:rFonts w:cs="Wingdings"/>
    </w:rPr>
  </w:style>
  <w:style w:type="character" w:customStyle="1" w:styleId="ListLabel4">
    <w:name w:val="ListLabel 4"/>
    <w:qFormat/>
    <w:rsid w:val="008C1DE2"/>
    <w:rPr>
      <w:rFonts w:cs="Symbol"/>
    </w:rPr>
  </w:style>
  <w:style w:type="character" w:customStyle="1" w:styleId="ListLabel5">
    <w:name w:val="ListLabel 5"/>
    <w:qFormat/>
    <w:rsid w:val="008C1DE2"/>
    <w:rPr>
      <w:rFonts w:cs="Courier New"/>
    </w:rPr>
  </w:style>
  <w:style w:type="character" w:customStyle="1" w:styleId="ListLabel6">
    <w:name w:val="ListLabel 6"/>
    <w:qFormat/>
    <w:rsid w:val="008C1DE2"/>
    <w:rPr>
      <w:rFonts w:cs="Wingdings"/>
    </w:rPr>
  </w:style>
  <w:style w:type="character" w:customStyle="1" w:styleId="ListLabel7">
    <w:name w:val="ListLabel 7"/>
    <w:qFormat/>
    <w:rsid w:val="008C1DE2"/>
    <w:rPr>
      <w:rFonts w:cs="Symbol"/>
    </w:rPr>
  </w:style>
  <w:style w:type="character" w:customStyle="1" w:styleId="ListLabel8">
    <w:name w:val="ListLabel 8"/>
    <w:qFormat/>
    <w:rsid w:val="008C1DE2"/>
    <w:rPr>
      <w:rFonts w:cs="Courier New"/>
    </w:rPr>
  </w:style>
  <w:style w:type="character" w:customStyle="1" w:styleId="ListLabel9">
    <w:name w:val="ListLabel 9"/>
    <w:qFormat/>
    <w:rsid w:val="008C1DE2"/>
    <w:rPr>
      <w:rFonts w:cs="Wingdings"/>
    </w:rPr>
  </w:style>
  <w:style w:type="character" w:customStyle="1" w:styleId="ListLabel10">
    <w:name w:val="ListLabel 10"/>
    <w:qFormat/>
    <w:rsid w:val="008C1DE2"/>
    <w:rPr>
      <w:rFonts w:cs="Symbol"/>
      <w:b/>
      <w:sz w:val="22"/>
    </w:rPr>
  </w:style>
  <w:style w:type="character" w:customStyle="1" w:styleId="ListLabel11">
    <w:name w:val="ListLabel 11"/>
    <w:qFormat/>
    <w:rsid w:val="008C1DE2"/>
    <w:rPr>
      <w:rFonts w:cs="Courier New"/>
    </w:rPr>
  </w:style>
  <w:style w:type="character" w:customStyle="1" w:styleId="ListLabel12">
    <w:name w:val="ListLabel 12"/>
    <w:qFormat/>
    <w:rsid w:val="008C1DE2"/>
    <w:rPr>
      <w:rFonts w:cs="Wingdings"/>
    </w:rPr>
  </w:style>
  <w:style w:type="character" w:customStyle="1" w:styleId="ListLabel13">
    <w:name w:val="ListLabel 13"/>
    <w:qFormat/>
    <w:rsid w:val="008C1DE2"/>
    <w:rPr>
      <w:rFonts w:cs="Symbol"/>
    </w:rPr>
  </w:style>
  <w:style w:type="character" w:customStyle="1" w:styleId="ListLabel14">
    <w:name w:val="ListLabel 14"/>
    <w:qFormat/>
    <w:rsid w:val="008C1DE2"/>
    <w:rPr>
      <w:rFonts w:cs="Courier New"/>
    </w:rPr>
  </w:style>
  <w:style w:type="character" w:customStyle="1" w:styleId="ListLabel15">
    <w:name w:val="ListLabel 15"/>
    <w:qFormat/>
    <w:rsid w:val="008C1DE2"/>
    <w:rPr>
      <w:rFonts w:cs="Wingdings"/>
    </w:rPr>
  </w:style>
  <w:style w:type="character" w:customStyle="1" w:styleId="ListLabel16">
    <w:name w:val="ListLabel 16"/>
    <w:qFormat/>
    <w:rsid w:val="008C1DE2"/>
    <w:rPr>
      <w:rFonts w:cs="Symbol"/>
    </w:rPr>
  </w:style>
  <w:style w:type="character" w:customStyle="1" w:styleId="ListLabel17">
    <w:name w:val="ListLabel 17"/>
    <w:qFormat/>
    <w:rsid w:val="008C1DE2"/>
    <w:rPr>
      <w:rFonts w:cs="Courier New"/>
    </w:rPr>
  </w:style>
  <w:style w:type="character" w:customStyle="1" w:styleId="ListLabel18">
    <w:name w:val="ListLabel 18"/>
    <w:qFormat/>
    <w:rsid w:val="008C1DE2"/>
    <w:rPr>
      <w:rFonts w:cs="Wingdings"/>
    </w:rPr>
  </w:style>
  <w:style w:type="character" w:customStyle="1" w:styleId="ListLabel19">
    <w:name w:val="ListLabel 19"/>
    <w:qFormat/>
    <w:rsid w:val="008C1DE2"/>
    <w:rPr>
      <w:rFonts w:cs="Symbol"/>
    </w:rPr>
  </w:style>
  <w:style w:type="character" w:customStyle="1" w:styleId="ListLabel20">
    <w:name w:val="ListLabel 20"/>
    <w:qFormat/>
    <w:rsid w:val="008C1DE2"/>
    <w:rPr>
      <w:rFonts w:cs="Courier New"/>
    </w:rPr>
  </w:style>
  <w:style w:type="character" w:customStyle="1" w:styleId="ListLabel21">
    <w:name w:val="ListLabel 21"/>
    <w:qFormat/>
    <w:rsid w:val="008C1DE2"/>
    <w:rPr>
      <w:rFonts w:cs="Wingdings"/>
    </w:rPr>
  </w:style>
  <w:style w:type="character" w:customStyle="1" w:styleId="ListLabel22">
    <w:name w:val="ListLabel 22"/>
    <w:qFormat/>
    <w:rsid w:val="008C1DE2"/>
    <w:rPr>
      <w:rFonts w:cs="Symbol"/>
    </w:rPr>
  </w:style>
  <w:style w:type="character" w:customStyle="1" w:styleId="ListLabel23">
    <w:name w:val="ListLabel 23"/>
    <w:qFormat/>
    <w:rsid w:val="008C1DE2"/>
    <w:rPr>
      <w:rFonts w:cs="Courier New"/>
    </w:rPr>
  </w:style>
  <w:style w:type="character" w:customStyle="1" w:styleId="ListLabel24">
    <w:name w:val="ListLabel 24"/>
    <w:qFormat/>
    <w:rsid w:val="008C1DE2"/>
    <w:rPr>
      <w:rFonts w:cs="Wingdings"/>
    </w:rPr>
  </w:style>
  <w:style w:type="character" w:customStyle="1" w:styleId="ListLabel25">
    <w:name w:val="ListLabel 25"/>
    <w:qFormat/>
    <w:rsid w:val="008C1DE2"/>
    <w:rPr>
      <w:rFonts w:cs="Symbol"/>
    </w:rPr>
  </w:style>
  <w:style w:type="character" w:customStyle="1" w:styleId="ListLabel26">
    <w:name w:val="ListLabel 26"/>
    <w:qFormat/>
    <w:rsid w:val="008C1DE2"/>
    <w:rPr>
      <w:rFonts w:cs="Courier New"/>
    </w:rPr>
  </w:style>
  <w:style w:type="character" w:customStyle="1" w:styleId="ListLabel27">
    <w:name w:val="ListLabel 27"/>
    <w:qFormat/>
    <w:rsid w:val="008C1DE2"/>
    <w:rPr>
      <w:rFonts w:cs="Wingdings"/>
    </w:rPr>
  </w:style>
  <w:style w:type="character" w:customStyle="1" w:styleId="ListLabel28">
    <w:name w:val="ListLabel 28"/>
    <w:qFormat/>
    <w:rsid w:val="008C1DE2"/>
    <w:rPr>
      <w:rFonts w:cs="Symbol"/>
      <w:b/>
      <w:sz w:val="22"/>
    </w:rPr>
  </w:style>
  <w:style w:type="character" w:customStyle="1" w:styleId="ListLabel29">
    <w:name w:val="ListLabel 29"/>
    <w:qFormat/>
    <w:rsid w:val="008C1DE2"/>
    <w:rPr>
      <w:rFonts w:cs="Courier New"/>
    </w:rPr>
  </w:style>
  <w:style w:type="character" w:customStyle="1" w:styleId="ListLabel30">
    <w:name w:val="ListLabel 30"/>
    <w:qFormat/>
    <w:rsid w:val="008C1DE2"/>
    <w:rPr>
      <w:rFonts w:cs="Wingdings"/>
    </w:rPr>
  </w:style>
  <w:style w:type="character" w:customStyle="1" w:styleId="ListLabel31">
    <w:name w:val="ListLabel 31"/>
    <w:qFormat/>
    <w:rsid w:val="008C1DE2"/>
    <w:rPr>
      <w:rFonts w:cs="Symbol"/>
    </w:rPr>
  </w:style>
  <w:style w:type="character" w:customStyle="1" w:styleId="ListLabel32">
    <w:name w:val="ListLabel 32"/>
    <w:qFormat/>
    <w:rsid w:val="008C1DE2"/>
    <w:rPr>
      <w:rFonts w:cs="Courier New"/>
    </w:rPr>
  </w:style>
  <w:style w:type="character" w:customStyle="1" w:styleId="ListLabel33">
    <w:name w:val="ListLabel 33"/>
    <w:qFormat/>
    <w:rsid w:val="008C1DE2"/>
    <w:rPr>
      <w:rFonts w:cs="Wingdings"/>
    </w:rPr>
  </w:style>
  <w:style w:type="character" w:customStyle="1" w:styleId="ListLabel34">
    <w:name w:val="ListLabel 34"/>
    <w:qFormat/>
    <w:rsid w:val="008C1DE2"/>
    <w:rPr>
      <w:rFonts w:cs="Symbol"/>
    </w:rPr>
  </w:style>
  <w:style w:type="character" w:customStyle="1" w:styleId="ListLabel35">
    <w:name w:val="ListLabel 35"/>
    <w:qFormat/>
    <w:rsid w:val="008C1DE2"/>
    <w:rPr>
      <w:rFonts w:cs="Courier New"/>
    </w:rPr>
  </w:style>
  <w:style w:type="character" w:customStyle="1" w:styleId="ListLabel36">
    <w:name w:val="ListLabel 36"/>
    <w:qFormat/>
    <w:rsid w:val="008C1DE2"/>
    <w:rPr>
      <w:rFonts w:cs="Wingdings"/>
    </w:rPr>
  </w:style>
  <w:style w:type="character" w:customStyle="1" w:styleId="ListLabel37">
    <w:name w:val="ListLabel 37"/>
    <w:qFormat/>
    <w:rsid w:val="008C1DE2"/>
    <w:rPr>
      <w:rFonts w:cs="Symbol"/>
    </w:rPr>
  </w:style>
  <w:style w:type="character" w:customStyle="1" w:styleId="ListLabel38">
    <w:name w:val="ListLabel 38"/>
    <w:qFormat/>
    <w:rsid w:val="008C1DE2"/>
    <w:rPr>
      <w:rFonts w:cs="Courier New"/>
    </w:rPr>
  </w:style>
  <w:style w:type="character" w:customStyle="1" w:styleId="ListLabel39">
    <w:name w:val="ListLabel 39"/>
    <w:qFormat/>
    <w:rsid w:val="008C1DE2"/>
    <w:rPr>
      <w:rFonts w:cs="Wingdings"/>
    </w:rPr>
  </w:style>
  <w:style w:type="character" w:customStyle="1" w:styleId="ListLabel40">
    <w:name w:val="ListLabel 40"/>
    <w:qFormat/>
    <w:rsid w:val="008C1DE2"/>
    <w:rPr>
      <w:rFonts w:cs="Symbol"/>
    </w:rPr>
  </w:style>
  <w:style w:type="character" w:customStyle="1" w:styleId="ListLabel41">
    <w:name w:val="ListLabel 41"/>
    <w:qFormat/>
    <w:rsid w:val="008C1DE2"/>
    <w:rPr>
      <w:rFonts w:cs="Courier New"/>
    </w:rPr>
  </w:style>
  <w:style w:type="character" w:customStyle="1" w:styleId="ListLabel42">
    <w:name w:val="ListLabel 42"/>
    <w:qFormat/>
    <w:rsid w:val="008C1DE2"/>
    <w:rPr>
      <w:rFonts w:cs="Wingdings"/>
    </w:rPr>
  </w:style>
  <w:style w:type="character" w:customStyle="1" w:styleId="ListLabel43">
    <w:name w:val="ListLabel 43"/>
    <w:qFormat/>
    <w:rsid w:val="008C1DE2"/>
    <w:rPr>
      <w:rFonts w:cs="Symbol"/>
    </w:rPr>
  </w:style>
  <w:style w:type="character" w:customStyle="1" w:styleId="ListLabel44">
    <w:name w:val="ListLabel 44"/>
    <w:qFormat/>
    <w:rsid w:val="008C1DE2"/>
    <w:rPr>
      <w:rFonts w:cs="Courier New"/>
    </w:rPr>
  </w:style>
  <w:style w:type="character" w:customStyle="1" w:styleId="ListLabel45">
    <w:name w:val="ListLabel 45"/>
    <w:qFormat/>
    <w:rsid w:val="008C1DE2"/>
    <w:rPr>
      <w:rFonts w:cs="Wingdings"/>
    </w:rPr>
  </w:style>
  <w:style w:type="character" w:customStyle="1" w:styleId="ListLabel46">
    <w:name w:val="ListLabel 46"/>
    <w:qFormat/>
    <w:rsid w:val="008C1DE2"/>
    <w:rPr>
      <w:rFonts w:cs="Symbol"/>
      <w:b/>
      <w:sz w:val="22"/>
    </w:rPr>
  </w:style>
  <w:style w:type="character" w:customStyle="1" w:styleId="ListLabel47">
    <w:name w:val="ListLabel 47"/>
    <w:qFormat/>
    <w:rsid w:val="008C1DE2"/>
    <w:rPr>
      <w:rFonts w:cs="Courier New"/>
    </w:rPr>
  </w:style>
  <w:style w:type="character" w:customStyle="1" w:styleId="ListLabel48">
    <w:name w:val="ListLabel 48"/>
    <w:qFormat/>
    <w:rsid w:val="008C1DE2"/>
    <w:rPr>
      <w:rFonts w:cs="Wingdings"/>
    </w:rPr>
  </w:style>
  <w:style w:type="character" w:customStyle="1" w:styleId="ListLabel49">
    <w:name w:val="ListLabel 49"/>
    <w:qFormat/>
    <w:rsid w:val="008C1DE2"/>
    <w:rPr>
      <w:rFonts w:cs="Symbol"/>
    </w:rPr>
  </w:style>
  <w:style w:type="character" w:customStyle="1" w:styleId="ListLabel50">
    <w:name w:val="ListLabel 50"/>
    <w:qFormat/>
    <w:rsid w:val="008C1DE2"/>
    <w:rPr>
      <w:rFonts w:cs="Courier New"/>
    </w:rPr>
  </w:style>
  <w:style w:type="character" w:customStyle="1" w:styleId="ListLabel51">
    <w:name w:val="ListLabel 51"/>
    <w:qFormat/>
    <w:rsid w:val="008C1DE2"/>
    <w:rPr>
      <w:rFonts w:cs="Wingdings"/>
    </w:rPr>
  </w:style>
  <w:style w:type="character" w:customStyle="1" w:styleId="ListLabel52">
    <w:name w:val="ListLabel 52"/>
    <w:qFormat/>
    <w:rsid w:val="008C1DE2"/>
    <w:rPr>
      <w:rFonts w:cs="Symbol"/>
    </w:rPr>
  </w:style>
  <w:style w:type="character" w:customStyle="1" w:styleId="ListLabel53">
    <w:name w:val="ListLabel 53"/>
    <w:qFormat/>
    <w:rsid w:val="008C1DE2"/>
    <w:rPr>
      <w:rFonts w:cs="Courier New"/>
    </w:rPr>
  </w:style>
  <w:style w:type="character" w:customStyle="1" w:styleId="ListLabel54">
    <w:name w:val="ListLabel 54"/>
    <w:qFormat/>
    <w:rsid w:val="008C1DE2"/>
    <w:rPr>
      <w:rFonts w:cs="Wingdings"/>
    </w:rPr>
  </w:style>
  <w:style w:type="character" w:customStyle="1" w:styleId="ListLabel55">
    <w:name w:val="ListLabel 55"/>
    <w:qFormat/>
    <w:rsid w:val="008C1DE2"/>
    <w:rPr>
      <w:rFonts w:cs="Symbol"/>
    </w:rPr>
  </w:style>
  <w:style w:type="character" w:customStyle="1" w:styleId="ListLabel56">
    <w:name w:val="ListLabel 56"/>
    <w:qFormat/>
    <w:rsid w:val="008C1DE2"/>
    <w:rPr>
      <w:rFonts w:cs="Courier New"/>
    </w:rPr>
  </w:style>
  <w:style w:type="character" w:customStyle="1" w:styleId="ListLabel57">
    <w:name w:val="ListLabel 57"/>
    <w:qFormat/>
    <w:rsid w:val="008C1DE2"/>
    <w:rPr>
      <w:rFonts w:cs="Wingdings"/>
    </w:rPr>
  </w:style>
  <w:style w:type="character" w:customStyle="1" w:styleId="ListLabel58">
    <w:name w:val="ListLabel 58"/>
    <w:qFormat/>
    <w:rsid w:val="008C1DE2"/>
    <w:rPr>
      <w:rFonts w:cs="Symbol"/>
    </w:rPr>
  </w:style>
  <w:style w:type="character" w:customStyle="1" w:styleId="ListLabel59">
    <w:name w:val="ListLabel 59"/>
    <w:qFormat/>
    <w:rsid w:val="008C1DE2"/>
    <w:rPr>
      <w:rFonts w:cs="Courier New"/>
    </w:rPr>
  </w:style>
  <w:style w:type="character" w:customStyle="1" w:styleId="ListLabel60">
    <w:name w:val="ListLabel 60"/>
    <w:qFormat/>
    <w:rsid w:val="008C1DE2"/>
    <w:rPr>
      <w:rFonts w:cs="Wingdings"/>
    </w:rPr>
  </w:style>
  <w:style w:type="character" w:customStyle="1" w:styleId="ListLabel61">
    <w:name w:val="ListLabel 61"/>
    <w:qFormat/>
    <w:rsid w:val="008C1DE2"/>
    <w:rPr>
      <w:rFonts w:cs="Symbol"/>
    </w:rPr>
  </w:style>
  <w:style w:type="character" w:customStyle="1" w:styleId="ListLabel62">
    <w:name w:val="ListLabel 62"/>
    <w:qFormat/>
    <w:rsid w:val="008C1DE2"/>
    <w:rPr>
      <w:rFonts w:cs="Courier New"/>
    </w:rPr>
  </w:style>
  <w:style w:type="character" w:customStyle="1" w:styleId="ListLabel63">
    <w:name w:val="ListLabel 63"/>
    <w:qFormat/>
    <w:rsid w:val="008C1DE2"/>
    <w:rPr>
      <w:rFonts w:cs="Wingdings"/>
    </w:rPr>
  </w:style>
  <w:style w:type="character" w:customStyle="1" w:styleId="ListLabel64">
    <w:name w:val="ListLabel 64"/>
    <w:qFormat/>
    <w:rsid w:val="008C1DE2"/>
    <w:rPr>
      <w:rFonts w:cs="Symbol"/>
      <w:b/>
      <w:sz w:val="22"/>
    </w:rPr>
  </w:style>
  <w:style w:type="character" w:customStyle="1" w:styleId="ListLabel65">
    <w:name w:val="ListLabel 65"/>
    <w:qFormat/>
    <w:rsid w:val="008C1DE2"/>
    <w:rPr>
      <w:rFonts w:cs="Courier New"/>
    </w:rPr>
  </w:style>
  <w:style w:type="character" w:customStyle="1" w:styleId="ListLabel66">
    <w:name w:val="ListLabel 66"/>
    <w:qFormat/>
    <w:rsid w:val="008C1DE2"/>
    <w:rPr>
      <w:rFonts w:cs="Wingdings"/>
    </w:rPr>
  </w:style>
  <w:style w:type="character" w:customStyle="1" w:styleId="ListLabel67">
    <w:name w:val="ListLabel 67"/>
    <w:qFormat/>
    <w:rsid w:val="008C1DE2"/>
    <w:rPr>
      <w:rFonts w:cs="Symbol"/>
    </w:rPr>
  </w:style>
  <w:style w:type="character" w:customStyle="1" w:styleId="ListLabel68">
    <w:name w:val="ListLabel 68"/>
    <w:qFormat/>
    <w:rsid w:val="008C1DE2"/>
    <w:rPr>
      <w:rFonts w:cs="Courier New"/>
    </w:rPr>
  </w:style>
  <w:style w:type="character" w:customStyle="1" w:styleId="ListLabel69">
    <w:name w:val="ListLabel 69"/>
    <w:qFormat/>
    <w:rsid w:val="008C1DE2"/>
    <w:rPr>
      <w:rFonts w:cs="Wingdings"/>
    </w:rPr>
  </w:style>
  <w:style w:type="character" w:customStyle="1" w:styleId="ListLabel70">
    <w:name w:val="ListLabel 70"/>
    <w:qFormat/>
    <w:rsid w:val="008C1DE2"/>
    <w:rPr>
      <w:rFonts w:cs="Symbol"/>
    </w:rPr>
  </w:style>
  <w:style w:type="character" w:customStyle="1" w:styleId="ListLabel71">
    <w:name w:val="ListLabel 71"/>
    <w:qFormat/>
    <w:rsid w:val="008C1DE2"/>
    <w:rPr>
      <w:rFonts w:cs="Courier New"/>
    </w:rPr>
  </w:style>
  <w:style w:type="character" w:customStyle="1" w:styleId="ListLabel72">
    <w:name w:val="ListLabel 72"/>
    <w:qFormat/>
    <w:rsid w:val="008C1DE2"/>
    <w:rPr>
      <w:rFonts w:cs="Wingdings"/>
    </w:rPr>
  </w:style>
  <w:style w:type="character" w:customStyle="1" w:styleId="ListLabel73">
    <w:name w:val="ListLabel 73"/>
    <w:qFormat/>
    <w:rsid w:val="008C1DE2"/>
    <w:rPr>
      <w:rFonts w:cs="Symbol"/>
    </w:rPr>
  </w:style>
  <w:style w:type="character" w:customStyle="1" w:styleId="ListLabel74">
    <w:name w:val="ListLabel 74"/>
    <w:qFormat/>
    <w:rsid w:val="008C1DE2"/>
    <w:rPr>
      <w:rFonts w:cs="Courier New"/>
    </w:rPr>
  </w:style>
  <w:style w:type="character" w:customStyle="1" w:styleId="ListLabel75">
    <w:name w:val="ListLabel 75"/>
    <w:qFormat/>
    <w:rsid w:val="008C1DE2"/>
    <w:rPr>
      <w:rFonts w:cs="Wingdings"/>
    </w:rPr>
  </w:style>
  <w:style w:type="character" w:customStyle="1" w:styleId="ListLabel76">
    <w:name w:val="ListLabel 76"/>
    <w:qFormat/>
    <w:rsid w:val="008C1DE2"/>
    <w:rPr>
      <w:rFonts w:cs="Symbol"/>
    </w:rPr>
  </w:style>
  <w:style w:type="character" w:customStyle="1" w:styleId="ListLabel77">
    <w:name w:val="ListLabel 77"/>
    <w:qFormat/>
    <w:rsid w:val="008C1DE2"/>
    <w:rPr>
      <w:rFonts w:cs="Courier New"/>
    </w:rPr>
  </w:style>
  <w:style w:type="character" w:customStyle="1" w:styleId="ListLabel78">
    <w:name w:val="ListLabel 78"/>
    <w:qFormat/>
    <w:rsid w:val="008C1DE2"/>
    <w:rPr>
      <w:rFonts w:cs="Wingdings"/>
    </w:rPr>
  </w:style>
  <w:style w:type="character" w:customStyle="1" w:styleId="ListLabel79">
    <w:name w:val="ListLabel 79"/>
    <w:qFormat/>
    <w:rsid w:val="008C1DE2"/>
    <w:rPr>
      <w:rFonts w:cs="Symbol"/>
    </w:rPr>
  </w:style>
  <w:style w:type="character" w:customStyle="1" w:styleId="ListLabel80">
    <w:name w:val="ListLabel 80"/>
    <w:qFormat/>
    <w:rsid w:val="008C1DE2"/>
    <w:rPr>
      <w:rFonts w:cs="Courier New"/>
    </w:rPr>
  </w:style>
  <w:style w:type="character" w:customStyle="1" w:styleId="ListLabel81">
    <w:name w:val="ListLabel 81"/>
    <w:qFormat/>
    <w:rsid w:val="008C1DE2"/>
    <w:rPr>
      <w:rFonts w:cs="Wingdings"/>
    </w:rPr>
  </w:style>
  <w:style w:type="character" w:customStyle="1" w:styleId="ListLabel82">
    <w:name w:val="ListLabel 82"/>
    <w:qFormat/>
    <w:rsid w:val="008C1DE2"/>
    <w:rPr>
      <w:rFonts w:cs="Symbol"/>
      <w:b/>
      <w:sz w:val="22"/>
    </w:rPr>
  </w:style>
  <w:style w:type="character" w:customStyle="1" w:styleId="ListLabel83">
    <w:name w:val="ListLabel 83"/>
    <w:qFormat/>
    <w:rsid w:val="008C1DE2"/>
    <w:rPr>
      <w:rFonts w:cs="Courier New"/>
    </w:rPr>
  </w:style>
  <w:style w:type="character" w:customStyle="1" w:styleId="ListLabel84">
    <w:name w:val="ListLabel 84"/>
    <w:qFormat/>
    <w:rsid w:val="008C1DE2"/>
    <w:rPr>
      <w:rFonts w:cs="Wingdings"/>
    </w:rPr>
  </w:style>
  <w:style w:type="character" w:customStyle="1" w:styleId="ListLabel85">
    <w:name w:val="ListLabel 85"/>
    <w:qFormat/>
    <w:rsid w:val="008C1DE2"/>
    <w:rPr>
      <w:rFonts w:cs="Symbol"/>
    </w:rPr>
  </w:style>
  <w:style w:type="character" w:customStyle="1" w:styleId="ListLabel86">
    <w:name w:val="ListLabel 86"/>
    <w:qFormat/>
    <w:rsid w:val="008C1DE2"/>
    <w:rPr>
      <w:rFonts w:cs="Courier New"/>
    </w:rPr>
  </w:style>
  <w:style w:type="character" w:customStyle="1" w:styleId="ListLabel87">
    <w:name w:val="ListLabel 87"/>
    <w:qFormat/>
    <w:rsid w:val="008C1DE2"/>
    <w:rPr>
      <w:rFonts w:cs="Wingdings"/>
    </w:rPr>
  </w:style>
  <w:style w:type="character" w:customStyle="1" w:styleId="ListLabel88">
    <w:name w:val="ListLabel 88"/>
    <w:qFormat/>
    <w:rsid w:val="008C1DE2"/>
    <w:rPr>
      <w:rFonts w:cs="Symbol"/>
    </w:rPr>
  </w:style>
  <w:style w:type="character" w:customStyle="1" w:styleId="ListLabel89">
    <w:name w:val="ListLabel 89"/>
    <w:qFormat/>
    <w:rsid w:val="008C1DE2"/>
    <w:rPr>
      <w:rFonts w:cs="Courier New"/>
    </w:rPr>
  </w:style>
  <w:style w:type="character" w:customStyle="1" w:styleId="ListLabel90">
    <w:name w:val="ListLabel 90"/>
    <w:qFormat/>
    <w:rsid w:val="008C1DE2"/>
    <w:rPr>
      <w:rFonts w:cs="Wingdings"/>
    </w:rPr>
  </w:style>
  <w:style w:type="character" w:customStyle="1" w:styleId="ListLabel91">
    <w:name w:val="ListLabel 91"/>
    <w:qFormat/>
    <w:rsid w:val="008C1DE2"/>
    <w:rPr>
      <w:rFonts w:cs="Symbol"/>
    </w:rPr>
  </w:style>
  <w:style w:type="character" w:customStyle="1" w:styleId="ListLabel92">
    <w:name w:val="ListLabel 92"/>
    <w:qFormat/>
    <w:rsid w:val="008C1DE2"/>
    <w:rPr>
      <w:rFonts w:cs="Courier New"/>
    </w:rPr>
  </w:style>
  <w:style w:type="character" w:customStyle="1" w:styleId="ListLabel93">
    <w:name w:val="ListLabel 93"/>
    <w:qFormat/>
    <w:rsid w:val="008C1DE2"/>
    <w:rPr>
      <w:rFonts w:cs="Wingdings"/>
    </w:rPr>
  </w:style>
  <w:style w:type="character" w:customStyle="1" w:styleId="ListLabel94">
    <w:name w:val="ListLabel 94"/>
    <w:qFormat/>
    <w:rsid w:val="008C1DE2"/>
    <w:rPr>
      <w:rFonts w:cs="Symbol"/>
    </w:rPr>
  </w:style>
  <w:style w:type="character" w:customStyle="1" w:styleId="ListLabel95">
    <w:name w:val="ListLabel 95"/>
    <w:qFormat/>
    <w:rsid w:val="008C1DE2"/>
    <w:rPr>
      <w:rFonts w:cs="Courier New"/>
    </w:rPr>
  </w:style>
  <w:style w:type="character" w:customStyle="1" w:styleId="ListLabel96">
    <w:name w:val="ListLabel 96"/>
    <w:qFormat/>
    <w:rsid w:val="008C1DE2"/>
    <w:rPr>
      <w:rFonts w:cs="Wingdings"/>
    </w:rPr>
  </w:style>
  <w:style w:type="character" w:customStyle="1" w:styleId="ListLabel97">
    <w:name w:val="ListLabel 97"/>
    <w:qFormat/>
    <w:rsid w:val="008C1DE2"/>
    <w:rPr>
      <w:rFonts w:cs="Symbol"/>
    </w:rPr>
  </w:style>
  <w:style w:type="character" w:customStyle="1" w:styleId="ListLabel98">
    <w:name w:val="ListLabel 98"/>
    <w:qFormat/>
    <w:rsid w:val="008C1DE2"/>
    <w:rPr>
      <w:rFonts w:cs="Courier New"/>
    </w:rPr>
  </w:style>
  <w:style w:type="character" w:customStyle="1" w:styleId="ListLabel99">
    <w:name w:val="ListLabel 99"/>
    <w:qFormat/>
    <w:rsid w:val="008C1DE2"/>
    <w:rPr>
      <w:rFonts w:cs="Wingdings"/>
    </w:rPr>
  </w:style>
  <w:style w:type="character" w:customStyle="1" w:styleId="ListLabel100">
    <w:name w:val="ListLabel 100"/>
    <w:qFormat/>
    <w:rsid w:val="008C1DE2"/>
    <w:rPr>
      <w:rFonts w:cs="Symbol"/>
      <w:b/>
      <w:sz w:val="22"/>
    </w:rPr>
  </w:style>
  <w:style w:type="character" w:customStyle="1" w:styleId="ListLabel101">
    <w:name w:val="ListLabel 101"/>
    <w:qFormat/>
    <w:rsid w:val="008C1DE2"/>
    <w:rPr>
      <w:rFonts w:cs="Courier New"/>
    </w:rPr>
  </w:style>
  <w:style w:type="character" w:customStyle="1" w:styleId="ListLabel102">
    <w:name w:val="ListLabel 102"/>
    <w:qFormat/>
    <w:rsid w:val="008C1DE2"/>
    <w:rPr>
      <w:rFonts w:cs="Wingdings"/>
    </w:rPr>
  </w:style>
  <w:style w:type="character" w:customStyle="1" w:styleId="ListLabel103">
    <w:name w:val="ListLabel 103"/>
    <w:qFormat/>
    <w:rsid w:val="008C1DE2"/>
    <w:rPr>
      <w:rFonts w:cs="Symbol"/>
    </w:rPr>
  </w:style>
  <w:style w:type="character" w:customStyle="1" w:styleId="ListLabel104">
    <w:name w:val="ListLabel 104"/>
    <w:qFormat/>
    <w:rsid w:val="008C1DE2"/>
    <w:rPr>
      <w:rFonts w:cs="Courier New"/>
    </w:rPr>
  </w:style>
  <w:style w:type="character" w:customStyle="1" w:styleId="ListLabel105">
    <w:name w:val="ListLabel 105"/>
    <w:qFormat/>
    <w:rsid w:val="008C1DE2"/>
    <w:rPr>
      <w:rFonts w:cs="Wingdings"/>
    </w:rPr>
  </w:style>
  <w:style w:type="character" w:customStyle="1" w:styleId="ListLabel106">
    <w:name w:val="ListLabel 106"/>
    <w:qFormat/>
    <w:rsid w:val="008C1DE2"/>
    <w:rPr>
      <w:rFonts w:cs="Symbol"/>
    </w:rPr>
  </w:style>
  <w:style w:type="character" w:customStyle="1" w:styleId="ListLabel107">
    <w:name w:val="ListLabel 107"/>
    <w:qFormat/>
    <w:rsid w:val="008C1DE2"/>
    <w:rPr>
      <w:rFonts w:cs="Courier New"/>
    </w:rPr>
  </w:style>
  <w:style w:type="character" w:customStyle="1" w:styleId="ListLabel108">
    <w:name w:val="ListLabel 108"/>
    <w:qFormat/>
    <w:rsid w:val="008C1DE2"/>
    <w:rPr>
      <w:rFonts w:cs="Wingdings"/>
    </w:rPr>
  </w:style>
  <w:style w:type="character" w:styleId="Emphasis">
    <w:name w:val="Emphasis"/>
    <w:qFormat/>
    <w:rsid w:val="008C1DE2"/>
    <w:rPr>
      <w:i/>
      <w:iCs/>
    </w:rPr>
  </w:style>
  <w:style w:type="character" w:customStyle="1" w:styleId="ListLabel109">
    <w:name w:val="ListLabel 109"/>
    <w:qFormat/>
    <w:rsid w:val="008C1DE2"/>
    <w:rPr>
      <w:rFonts w:cs="Symbol"/>
    </w:rPr>
  </w:style>
  <w:style w:type="character" w:customStyle="1" w:styleId="ListLabel110">
    <w:name w:val="ListLabel 110"/>
    <w:qFormat/>
    <w:rsid w:val="008C1DE2"/>
    <w:rPr>
      <w:rFonts w:cs="Courier New"/>
    </w:rPr>
  </w:style>
  <w:style w:type="character" w:customStyle="1" w:styleId="ListLabel111">
    <w:name w:val="ListLabel 111"/>
    <w:qFormat/>
    <w:rsid w:val="008C1DE2"/>
    <w:rPr>
      <w:rFonts w:cs="Wingdings"/>
    </w:rPr>
  </w:style>
  <w:style w:type="character" w:customStyle="1" w:styleId="ListLabel112">
    <w:name w:val="ListLabel 112"/>
    <w:qFormat/>
    <w:rsid w:val="008C1DE2"/>
    <w:rPr>
      <w:rFonts w:cs="Symbol"/>
    </w:rPr>
  </w:style>
  <w:style w:type="character" w:customStyle="1" w:styleId="ListLabel113">
    <w:name w:val="ListLabel 113"/>
    <w:qFormat/>
    <w:rsid w:val="008C1DE2"/>
    <w:rPr>
      <w:rFonts w:cs="Courier New"/>
    </w:rPr>
  </w:style>
  <w:style w:type="character" w:customStyle="1" w:styleId="ListLabel114">
    <w:name w:val="ListLabel 114"/>
    <w:qFormat/>
    <w:rsid w:val="008C1DE2"/>
    <w:rPr>
      <w:rFonts w:cs="Wingdings"/>
    </w:rPr>
  </w:style>
  <w:style w:type="character" w:customStyle="1" w:styleId="ListLabel115">
    <w:name w:val="ListLabel 115"/>
    <w:qFormat/>
    <w:rsid w:val="008C1DE2"/>
    <w:rPr>
      <w:rFonts w:cs="Symbol"/>
    </w:rPr>
  </w:style>
  <w:style w:type="character" w:customStyle="1" w:styleId="ListLabel116">
    <w:name w:val="ListLabel 116"/>
    <w:qFormat/>
    <w:rsid w:val="008C1DE2"/>
    <w:rPr>
      <w:rFonts w:cs="Courier New"/>
    </w:rPr>
  </w:style>
  <w:style w:type="character" w:customStyle="1" w:styleId="ListLabel117">
    <w:name w:val="ListLabel 117"/>
    <w:qFormat/>
    <w:rsid w:val="008C1DE2"/>
    <w:rPr>
      <w:rFonts w:cs="Wingdings"/>
    </w:rPr>
  </w:style>
  <w:style w:type="character" w:customStyle="1" w:styleId="ListLabel118">
    <w:name w:val="ListLabel 118"/>
    <w:qFormat/>
    <w:rsid w:val="008C1DE2"/>
    <w:rPr>
      <w:rFonts w:cs="Symbol"/>
      <w:b/>
      <w:sz w:val="22"/>
    </w:rPr>
  </w:style>
  <w:style w:type="character" w:customStyle="1" w:styleId="ListLabel119">
    <w:name w:val="ListLabel 119"/>
    <w:qFormat/>
    <w:rsid w:val="008C1DE2"/>
    <w:rPr>
      <w:rFonts w:cs="Courier New"/>
    </w:rPr>
  </w:style>
  <w:style w:type="character" w:customStyle="1" w:styleId="ListLabel120">
    <w:name w:val="ListLabel 120"/>
    <w:qFormat/>
    <w:rsid w:val="008C1DE2"/>
    <w:rPr>
      <w:rFonts w:cs="Wingdings"/>
    </w:rPr>
  </w:style>
  <w:style w:type="character" w:customStyle="1" w:styleId="ListLabel121">
    <w:name w:val="ListLabel 121"/>
    <w:qFormat/>
    <w:rsid w:val="008C1DE2"/>
    <w:rPr>
      <w:rFonts w:cs="Symbol"/>
    </w:rPr>
  </w:style>
  <w:style w:type="character" w:customStyle="1" w:styleId="ListLabel122">
    <w:name w:val="ListLabel 122"/>
    <w:qFormat/>
    <w:rsid w:val="008C1DE2"/>
    <w:rPr>
      <w:rFonts w:cs="Courier New"/>
    </w:rPr>
  </w:style>
  <w:style w:type="character" w:customStyle="1" w:styleId="ListLabel123">
    <w:name w:val="ListLabel 123"/>
    <w:qFormat/>
    <w:rsid w:val="008C1DE2"/>
    <w:rPr>
      <w:rFonts w:cs="Wingdings"/>
    </w:rPr>
  </w:style>
  <w:style w:type="character" w:customStyle="1" w:styleId="ListLabel124">
    <w:name w:val="ListLabel 124"/>
    <w:qFormat/>
    <w:rsid w:val="008C1DE2"/>
    <w:rPr>
      <w:rFonts w:cs="Symbol"/>
    </w:rPr>
  </w:style>
  <w:style w:type="character" w:customStyle="1" w:styleId="ListLabel125">
    <w:name w:val="ListLabel 125"/>
    <w:qFormat/>
    <w:rsid w:val="008C1DE2"/>
    <w:rPr>
      <w:rFonts w:cs="Courier New"/>
    </w:rPr>
  </w:style>
  <w:style w:type="character" w:customStyle="1" w:styleId="ListLabel126">
    <w:name w:val="ListLabel 126"/>
    <w:qFormat/>
    <w:rsid w:val="008C1DE2"/>
    <w:rPr>
      <w:rFonts w:cs="Wingdings"/>
    </w:rPr>
  </w:style>
  <w:style w:type="character" w:customStyle="1" w:styleId="ListLabel127">
    <w:name w:val="ListLabel 127"/>
    <w:qFormat/>
    <w:rsid w:val="008C1DE2"/>
    <w:rPr>
      <w:rFonts w:cs="Symbol"/>
    </w:rPr>
  </w:style>
  <w:style w:type="character" w:customStyle="1" w:styleId="ListLabel128">
    <w:name w:val="ListLabel 128"/>
    <w:qFormat/>
    <w:rsid w:val="008C1DE2"/>
    <w:rPr>
      <w:rFonts w:cs="Courier New"/>
    </w:rPr>
  </w:style>
  <w:style w:type="character" w:customStyle="1" w:styleId="ListLabel129">
    <w:name w:val="ListLabel 129"/>
    <w:qFormat/>
    <w:rsid w:val="008C1DE2"/>
    <w:rPr>
      <w:rFonts w:cs="Wingdings"/>
    </w:rPr>
  </w:style>
  <w:style w:type="character" w:customStyle="1" w:styleId="ListLabel130">
    <w:name w:val="ListLabel 130"/>
    <w:qFormat/>
    <w:rsid w:val="008C1DE2"/>
    <w:rPr>
      <w:rFonts w:cs="Symbol"/>
    </w:rPr>
  </w:style>
  <w:style w:type="character" w:customStyle="1" w:styleId="ListLabel131">
    <w:name w:val="ListLabel 131"/>
    <w:qFormat/>
    <w:rsid w:val="008C1DE2"/>
    <w:rPr>
      <w:rFonts w:cs="Courier New"/>
    </w:rPr>
  </w:style>
  <w:style w:type="character" w:customStyle="1" w:styleId="ListLabel132">
    <w:name w:val="ListLabel 132"/>
    <w:qFormat/>
    <w:rsid w:val="008C1DE2"/>
    <w:rPr>
      <w:rFonts w:cs="Wingdings"/>
    </w:rPr>
  </w:style>
  <w:style w:type="character" w:customStyle="1" w:styleId="ListLabel133">
    <w:name w:val="ListLabel 133"/>
    <w:qFormat/>
    <w:rsid w:val="008C1DE2"/>
    <w:rPr>
      <w:rFonts w:cs="Symbol"/>
    </w:rPr>
  </w:style>
  <w:style w:type="character" w:customStyle="1" w:styleId="ListLabel134">
    <w:name w:val="ListLabel 134"/>
    <w:qFormat/>
    <w:rsid w:val="008C1DE2"/>
    <w:rPr>
      <w:rFonts w:cs="Courier New"/>
    </w:rPr>
  </w:style>
  <w:style w:type="character" w:customStyle="1" w:styleId="ListLabel135">
    <w:name w:val="ListLabel 135"/>
    <w:qFormat/>
    <w:rsid w:val="008C1DE2"/>
    <w:rPr>
      <w:rFonts w:cs="Wingdings"/>
    </w:rPr>
  </w:style>
  <w:style w:type="character" w:customStyle="1" w:styleId="ListLabel136">
    <w:name w:val="ListLabel 136"/>
    <w:qFormat/>
    <w:rsid w:val="008C1DE2"/>
    <w:rPr>
      <w:rFonts w:cs="Symbol"/>
      <w:b/>
      <w:sz w:val="22"/>
    </w:rPr>
  </w:style>
  <w:style w:type="character" w:customStyle="1" w:styleId="ListLabel137">
    <w:name w:val="ListLabel 137"/>
    <w:qFormat/>
    <w:rsid w:val="008C1DE2"/>
    <w:rPr>
      <w:rFonts w:cs="Courier New"/>
    </w:rPr>
  </w:style>
  <w:style w:type="character" w:customStyle="1" w:styleId="ListLabel138">
    <w:name w:val="ListLabel 138"/>
    <w:qFormat/>
    <w:rsid w:val="008C1DE2"/>
    <w:rPr>
      <w:rFonts w:cs="Wingdings"/>
    </w:rPr>
  </w:style>
  <w:style w:type="character" w:customStyle="1" w:styleId="ListLabel139">
    <w:name w:val="ListLabel 139"/>
    <w:qFormat/>
    <w:rsid w:val="008C1DE2"/>
    <w:rPr>
      <w:rFonts w:cs="Symbol"/>
    </w:rPr>
  </w:style>
  <w:style w:type="character" w:customStyle="1" w:styleId="ListLabel140">
    <w:name w:val="ListLabel 140"/>
    <w:qFormat/>
    <w:rsid w:val="008C1DE2"/>
    <w:rPr>
      <w:rFonts w:cs="Courier New"/>
    </w:rPr>
  </w:style>
  <w:style w:type="character" w:customStyle="1" w:styleId="ListLabel141">
    <w:name w:val="ListLabel 141"/>
    <w:qFormat/>
    <w:rsid w:val="008C1DE2"/>
    <w:rPr>
      <w:rFonts w:cs="Wingdings"/>
    </w:rPr>
  </w:style>
  <w:style w:type="character" w:customStyle="1" w:styleId="ListLabel142">
    <w:name w:val="ListLabel 142"/>
    <w:qFormat/>
    <w:rsid w:val="008C1DE2"/>
    <w:rPr>
      <w:rFonts w:cs="Symbol"/>
    </w:rPr>
  </w:style>
  <w:style w:type="character" w:customStyle="1" w:styleId="ListLabel143">
    <w:name w:val="ListLabel 143"/>
    <w:qFormat/>
    <w:rsid w:val="008C1DE2"/>
    <w:rPr>
      <w:rFonts w:cs="Courier New"/>
    </w:rPr>
  </w:style>
  <w:style w:type="character" w:customStyle="1" w:styleId="ListLabel144">
    <w:name w:val="ListLabel 144"/>
    <w:qFormat/>
    <w:rsid w:val="008C1DE2"/>
    <w:rPr>
      <w:rFonts w:cs="Wingdings"/>
    </w:rPr>
  </w:style>
  <w:style w:type="character" w:customStyle="1" w:styleId="ListLabel145">
    <w:name w:val="ListLabel 145"/>
    <w:qFormat/>
    <w:rsid w:val="008C1DE2"/>
    <w:rPr>
      <w:rFonts w:cs="Symbol"/>
    </w:rPr>
  </w:style>
  <w:style w:type="character" w:customStyle="1" w:styleId="ListLabel146">
    <w:name w:val="ListLabel 146"/>
    <w:qFormat/>
    <w:rsid w:val="008C1DE2"/>
    <w:rPr>
      <w:rFonts w:cs="Courier New"/>
    </w:rPr>
  </w:style>
  <w:style w:type="character" w:customStyle="1" w:styleId="ListLabel147">
    <w:name w:val="ListLabel 147"/>
    <w:qFormat/>
    <w:rsid w:val="008C1DE2"/>
    <w:rPr>
      <w:rFonts w:cs="Wingdings"/>
    </w:rPr>
  </w:style>
  <w:style w:type="character" w:customStyle="1" w:styleId="ListLabel148">
    <w:name w:val="ListLabel 148"/>
    <w:qFormat/>
    <w:rsid w:val="008C1DE2"/>
    <w:rPr>
      <w:rFonts w:cs="Symbol"/>
    </w:rPr>
  </w:style>
  <w:style w:type="character" w:customStyle="1" w:styleId="ListLabel149">
    <w:name w:val="ListLabel 149"/>
    <w:qFormat/>
    <w:rsid w:val="008C1DE2"/>
    <w:rPr>
      <w:rFonts w:cs="Courier New"/>
    </w:rPr>
  </w:style>
  <w:style w:type="character" w:customStyle="1" w:styleId="ListLabel150">
    <w:name w:val="ListLabel 150"/>
    <w:qFormat/>
    <w:rsid w:val="008C1DE2"/>
    <w:rPr>
      <w:rFonts w:cs="Wingdings"/>
    </w:rPr>
  </w:style>
  <w:style w:type="character" w:customStyle="1" w:styleId="ListLabel151">
    <w:name w:val="ListLabel 151"/>
    <w:qFormat/>
    <w:rsid w:val="008C1DE2"/>
    <w:rPr>
      <w:rFonts w:cs="Symbol"/>
    </w:rPr>
  </w:style>
  <w:style w:type="character" w:customStyle="1" w:styleId="ListLabel152">
    <w:name w:val="ListLabel 152"/>
    <w:qFormat/>
    <w:rsid w:val="008C1DE2"/>
    <w:rPr>
      <w:rFonts w:cs="Courier New"/>
    </w:rPr>
  </w:style>
  <w:style w:type="character" w:customStyle="1" w:styleId="ListLabel153">
    <w:name w:val="ListLabel 153"/>
    <w:qFormat/>
    <w:rsid w:val="008C1DE2"/>
    <w:rPr>
      <w:rFonts w:cs="Wingdings"/>
    </w:rPr>
  </w:style>
  <w:style w:type="character" w:customStyle="1" w:styleId="ListLabel154">
    <w:name w:val="ListLabel 154"/>
    <w:qFormat/>
    <w:rsid w:val="008C1DE2"/>
    <w:rPr>
      <w:rFonts w:cs="Symbol"/>
      <w:b/>
      <w:sz w:val="22"/>
    </w:rPr>
  </w:style>
  <w:style w:type="character" w:customStyle="1" w:styleId="ListLabel155">
    <w:name w:val="ListLabel 155"/>
    <w:qFormat/>
    <w:rsid w:val="008C1DE2"/>
    <w:rPr>
      <w:rFonts w:cs="Courier New"/>
    </w:rPr>
  </w:style>
  <w:style w:type="character" w:customStyle="1" w:styleId="ListLabel156">
    <w:name w:val="ListLabel 156"/>
    <w:qFormat/>
    <w:rsid w:val="008C1DE2"/>
    <w:rPr>
      <w:rFonts w:cs="Wingdings"/>
    </w:rPr>
  </w:style>
  <w:style w:type="character" w:customStyle="1" w:styleId="ListLabel157">
    <w:name w:val="ListLabel 157"/>
    <w:qFormat/>
    <w:rsid w:val="008C1DE2"/>
    <w:rPr>
      <w:rFonts w:cs="Symbol"/>
    </w:rPr>
  </w:style>
  <w:style w:type="character" w:customStyle="1" w:styleId="ListLabel158">
    <w:name w:val="ListLabel 158"/>
    <w:qFormat/>
    <w:rsid w:val="008C1DE2"/>
    <w:rPr>
      <w:rFonts w:cs="Courier New"/>
    </w:rPr>
  </w:style>
  <w:style w:type="character" w:customStyle="1" w:styleId="ListLabel159">
    <w:name w:val="ListLabel 159"/>
    <w:qFormat/>
    <w:rsid w:val="008C1DE2"/>
    <w:rPr>
      <w:rFonts w:cs="Wingdings"/>
    </w:rPr>
  </w:style>
  <w:style w:type="character" w:customStyle="1" w:styleId="ListLabel160">
    <w:name w:val="ListLabel 160"/>
    <w:qFormat/>
    <w:rsid w:val="008C1DE2"/>
    <w:rPr>
      <w:rFonts w:cs="Symbol"/>
    </w:rPr>
  </w:style>
  <w:style w:type="character" w:customStyle="1" w:styleId="ListLabel161">
    <w:name w:val="ListLabel 161"/>
    <w:qFormat/>
    <w:rsid w:val="008C1DE2"/>
    <w:rPr>
      <w:rFonts w:cs="Courier New"/>
    </w:rPr>
  </w:style>
  <w:style w:type="character" w:customStyle="1" w:styleId="ListLabel162">
    <w:name w:val="ListLabel 162"/>
    <w:qFormat/>
    <w:rsid w:val="008C1DE2"/>
    <w:rPr>
      <w:rFonts w:cs="Wingdings"/>
    </w:rPr>
  </w:style>
  <w:style w:type="paragraph" w:customStyle="1" w:styleId="Heading">
    <w:name w:val="Heading"/>
    <w:basedOn w:val="Normal"/>
    <w:next w:val="BodyText"/>
    <w:qFormat/>
    <w:rsid w:val="008C1DE2"/>
    <w:pPr>
      <w:keepNext/>
      <w:spacing w:before="240" w:after="120" w:line="360" w:lineRule="auto"/>
      <w:ind w:firstLine="709"/>
      <w:jc w:val="both"/>
    </w:pPr>
    <w:rPr>
      <w:rFonts w:ascii="Liberation Sans" w:eastAsia="Arial Unicode MS" w:hAnsi="Liberation Sans" w:cs="Arial Unicode MS"/>
      <w:color w:val="00000A"/>
      <w:sz w:val="28"/>
      <w:szCs w:val="28"/>
      <w:lang w:val="en-GB"/>
    </w:rPr>
  </w:style>
  <w:style w:type="paragraph" w:styleId="BodyText">
    <w:name w:val="Body Text"/>
    <w:basedOn w:val="Normal"/>
    <w:link w:val="BodyTextChar"/>
    <w:rsid w:val="008C1DE2"/>
    <w:pPr>
      <w:spacing w:after="140" w:line="288" w:lineRule="auto"/>
      <w:ind w:firstLine="709"/>
      <w:jc w:val="both"/>
    </w:pPr>
    <w:rPr>
      <w:color w:val="00000A"/>
      <w:lang w:val="en-GB"/>
    </w:rPr>
  </w:style>
  <w:style w:type="character" w:customStyle="1" w:styleId="BodyTextChar">
    <w:name w:val="Body Text Char"/>
    <w:basedOn w:val="DefaultParagraphFont"/>
    <w:link w:val="BodyText"/>
    <w:rsid w:val="008C1DE2"/>
    <w:rPr>
      <w:rFonts w:ascii="Times New Roman" w:eastAsia="Times New Roman" w:hAnsi="Times New Roman" w:cs="Times New Roman"/>
      <w:color w:val="00000A"/>
      <w:lang w:val="en-GB" w:eastAsia="it-IT"/>
    </w:rPr>
  </w:style>
  <w:style w:type="paragraph" w:styleId="List">
    <w:name w:val="List"/>
    <w:basedOn w:val="BodyText"/>
    <w:rsid w:val="008C1DE2"/>
  </w:style>
  <w:style w:type="paragraph" w:styleId="Caption">
    <w:name w:val="caption"/>
    <w:basedOn w:val="Normal"/>
    <w:next w:val="Normal"/>
    <w:qFormat/>
    <w:rsid w:val="008C1DE2"/>
    <w:pPr>
      <w:spacing w:before="120" w:after="60" w:line="360" w:lineRule="auto"/>
      <w:ind w:firstLine="709"/>
      <w:jc w:val="both"/>
    </w:pPr>
    <w:rPr>
      <w:b/>
      <w:color w:val="00000A"/>
      <w:lang w:val="en-GB"/>
    </w:rPr>
  </w:style>
  <w:style w:type="paragraph" w:customStyle="1" w:styleId="Index">
    <w:name w:val="Index"/>
    <w:basedOn w:val="Normal"/>
    <w:qFormat/>
    <w:rsid w:val="008C1DE2"/>
    <w:pPr>
      <w:suppressLineNumbers/>
      <w:spacing w:line="360" w:lineRule="auto"/>
      <w:ind w:firstLine="709"/>
      <w:jc w:val="both"/>
    </w:pPr>
    <w:rPr>
      <w:color w:val="00000A"/>
      <w:lang w:val="en-GB"/>
    </w:rPr>
  </w:style>
  <w:style w:type="paragraph" w:styleId="BalloonText">
    <w:name w:val="Balloon Text"/>
    <w:basedOn w:val="Normal"/>
    <w:link w:val="BalloonTextChar1"/>
    <w:qFormat/>
    <w:rsid w:val="008C1DE2"/>
    <w:pPr>
      <w:spacing w:line="360" w:lineRule="auto"/>
      <w:ind w:firstLine="709"/>
      <w:jc w:val="both"/>
    </w:pPr>
    <w:rPr>
      <w:rFonts w:ascii="Lucida Grande" w:hAnsi="Lucida Grande"/>
      <w:color w:val="00000A"/>
      <w:sz w:val="18"/>
      <w:szCs w:val="18"/>
      <w:lang w:val="en-GB"/>
    </w:rPr>
  </w:style>
  <w:style w:type="character" w:customStyle="1" w:styleId="BalloonTextChar1">
    <w:name w:val="Balloon Text Char1"/>
    <w:basedOn w:val="DefaultParagraphFont"/>
    <w:link w:val="BalloonText"/>
    <w:rsid w:val="008C1DE2"/>
    <w:rPr>
      <w:rFonts w:ascii="Lucida Grande" w:eastAsia="Times New Roman" w:hAnsi="Lucida Grande" w:cs="Times New Roman"/>
      <w:color w:val="00000A"/>
      <w:sz w:val="18"/>
      <w:szCs w:val="18"/>
      <w:lang w:val="en-GB" w:eastAsia="it-IT"/>
    </w:rPr>
  </w:style>
  <w:style w:type="paragraph" w:styleId="CommentText">
    <w:name w:val="annotation text"/>
    <w:basedOn w:val="Normal"/>
    <w:link w:val="CommentTextChar1"/>
    <w:qFormat/>
    <w:rsid w:val="008C1DE2"/>
    <w:pPr>
      <w:spacing w:line="360" w:lineRule="auto"/>
      <w:ind w:firstLine="709"/>
      <w:jc w:val="both"/>
    </w:pPr>
    <w:rPr>
      <w:color w:val="00000A"/>
      <w:lang w:val="en-GB"/>
    </w:rPr>
  </w:style>
  <w:style w:type="character" w:customStyle="1" w:styleId="CommentTextChar1">
    <w:name w:val="Comment Text Char1"/>
    <w:basedOn w:val="DefaultParagraphFont"/>
    <w:link w:val="CommentText"/>
    <w:rsid w:val="008C1DE2"/>
    <w:rPr>
      <w:rFonts w:ascii="Times New Roman" w:eastAsia="Times New Roman" w:hAnsi="Times New Roman" w:cs="Times New Roman"/>
      <w:color w:val="00000A"/>
      <w:lang w:val="en-GB" w:eastAsia="it-IT"/>
    </w:rPr>
  </w:style>
  <w:style w:type="paragraph" w:styleId="CommentSubject">
    <w:name w:val="annotation subject"/>
    <w:basedOn w:val="CommentText"/>
    <w:link w:val="CommentSubjectChar1"/>
    <w:qFormat/>
    <w:rsid w:val="008C1DE2"/>
  </w:style>
  <w:style w:type="character" w:customStyle="1" w:styleId="CommentSubjectChar1">
    <w:name w:val="Comment Subject Char1"/>
    <w:basedOn w:val="CommentTextChar1"/>
    <w:link w:val="CommentSubject"/>
    <w:rsid w:val="008C1DE2"/>
    <w:rPr>
      <w:rFonts w:ascii="Times New Roman" w:eastAsia="Times New Roman" w:hAnsi="Times New Roman" w:cs="Times New Roman"/>
      <w:color w:val="00000A"/>
      <w:lang w:val="en-GB" w:eastAsia="it-IT"/>
    </w:rPr>
  </w:style>
  <w:style w:type="paragraph" w:styleId="DocumentMap">
    <w:name w:val="Document Map"/>
    <w:basedOn w:val="Normal"/>
    <w:link w:val="DocumentMapChar1"/>
    <w:qFormat/>
    <w:rsid w:val="008C1DE2"/>
    <w:pPr>
      <w:shd w:val="clear" w:color="auto" w:fill="C6D5EC"/>
      <w:spacing w:line="360" w:lineRule="auto"/>
      <w:ind w:firstLine="709"/>
      <w:jc w:val="both"/>
    </w:pPr>
    <w:rPr>
      <w:rFonts w:ascii="Lucida Grande" w:hAnsi="Lucida Grande"/>
      <w:color w:val="00000A"/>
      <w:lang w:val="en-GB"/>
    </w:rPr>
  </w:style>
  <w:style w:type="character" w:customStyle="1" w:styleId="DocumentMapChar1">
    <w:name w:val="Document Map Char1"/>
    <w:basedOn w:val="DefaultParagraphFont"/>
    <w:link w:val="DocumentMap"/>
    <w:rsid w:val="008C1DE2"/>
    <w:rPr>
      <w:rFonts w:ascii="Lucida Grande" w:eastAsia="Times New Roman" w:hAnsi="Lucida Grande" w:cs="Times New Roman"/>
      <w:color w:val="00000A"/>
      <w:shd w:val="clear" w:color="auto" w:fill="C6D5EC"/>
      <w:lang w:val="en-GB" w:eastAsia="it-IT"/>
    </w:rPr>
  </w:style>
  <w:style w:type="paragraph" w:styleId="Footer">
    <w:name w:val="footer"/>
    <w:basedOn w:val="Normal"/>
    <w:link w:val="FooterChar1"/>
    <w:rsid w:val="008C1DE2"/>
    <w:pPr>
      <w:tabs>
        <w:tab w:val="center" w:pos="4986"/>
        <w:tab w:val="right" w:pos="9972"/>
      </w:tabs>
      <w:spacing w:line="360" w:lineRule="auto"/>
      <w:ind w:firstLine="709"/>
      <w:jc w:val="both"/>
    </w:pPr>
    <w:rPr>
      <w:color w:val="00000A"/>
      <w:lang w:val="en-GB"/>
    </w:rPr>
  </w:style>
  <w:style w:type="character" w:customStyle="1" w:styleId="FooterChar1">
    <w:name w:val="Footer Char1"/>
    <w:basedOn w:val="DefaultParagraphFont"/>
    <w:link w:val="Footer"/>
    <w:rsid w:val="008C1DE2"/>
    <w:rPr>
      <w:rFonts w:ascii="Times New Roman" w:eastAsia="Times New Roman" w:hAnsi="Times New Roman" w:cs="Times New Roman"/>
      <w:color w:val="00000A"/>
      <w:lang w:val="en-GB" w:eastAsia="it-IT"/>
    </w:rPr>
  </w:style>
  <w:style w:type="paragraph" w:styleId="FootnoteText">
    <w:name w:val="footnote text"/>
    <w:aliases w:val="Char6,ft,single space,FOOTNOTES,fn,ADB,WB-Fußnotentext,Footnote,Fußnote,WB-Fuﬂnotentext,Fuﬂnote,Car,Note de bas de page2,Note de bas de page Car Car Car,Note de bas de page Car Car,Note de bas de page Car Car Car2,Char"/>
    <w:basedOn w:val="Normal"/>
    <w:link w:val="FootnoteTextChar1"/>
    <w:uiPriority w:val="99"/>
    <w:rsid w:val="008C1DE2"/>
    <w:pPr>
      <w:spacing w:line="480" w:lineRule="auto"/>
      <w:ind w:firstLine="709"/>
      <w:jc w:val="both"/>
    </w:pPr>
    <w:rPr>
      <w:color w:val="00000A"/>
      <w:sz w:val="20"/>
      <w:szCs w:val="20"/>
      <w:vertAlign w:val="superscript"/>
      <w:lang w:val="en-GB"/>
    </w:rPr>
  </w:style>
  <w:style w:type="character" w:customStyle="1" w:styleId="FootnoteTextChar1">
    <w:name w:val="Footnote Text Char1"/>
    <w:aliases w:val="Char6 Char,ft Char,single space Char,FOOTNOTES Char,fn Char,ADB Char,WB-Fußnotentext Char,Footnote Char,Fußnote Char,WB-Fuﬂnotentext Char,Fuﬂnote Char,Car Char,Note de bas de page2 Char,Note de bas de page Car Car Car Char,Char Char"/>
    <w:basedOn w:val="DefaultParagraphFont"/>
    <w:link w:val="FootnoteText"/>
    <w:uiPriority w:val="99"/>
    <w:rsid w:val="008C1DE2"/>
    <w:rPr>
      <w:rFonts w:ascii="Times New Roman" w:eastAsia="Times New Roman" w:hAnsi="Times New Roman" w:cs="Times New Roman"/>
      <w:color w:val="00000A"/>
      <w:sz w:val="20"/>
      <w:szCs w:val="20"/>
      <w:vertAlign w:val="superscript"/>
      <w:lang w:val="en-GB" w:eastAsia="it-IT"/>
    </w:rPr>
  </w:style>
  <w:style w:type="paragraph" w:styleId="Header">
    <w:name w:val="header"/>
    <w:basedOn w:val="Normal"/>
    <w:link w:val="HeaderChar1"/>
    <w:rsid w:val="008C1DE2"/>
    <w:pPr>
      <w:tabs>
        <w:tab w:val="center" w:pos="4986"/>
        <w:tab w:val="right" w:pos="9972"/>
      </w:tabs>
      <w:spacing w:line="360" w:lineRule="auto"/>
      <w:ind w:firstLine="709"/>
      <w:jc w:val="both"/>
    </w:pPr>
    <w:rPr>
      <w:color w:val="00000A"/>
      <w:lang w:val="en-GB"/>
    </w:rPr>
  </w:style>
  <w:style w:type="character" w:customStyle="1" w:styleId="HeaderChar1">
    <w:name w:val="Header Char1"/>
    <w:basedOn w:val="DefaultParagraphFont"/>
    <w:link w:val="Header"/>
    <w:rsid w:val="008C1DE2"/>
    <w:rPr>
      <w:rFonts w:ascii="Times New Roman" w:eastAsia="Times New Roman" w:hAnsi="Times New Roman" w:cs="Times New Roman"/>
      <w:color w:val="00000A"/>
      <w:lang w:val="en-GB" w:eastAsia="it-IT"/>
    </w:rPr>
  </w:style>
  <w:style w:type="paragraph" w:styleId="NormalWeb">
    <w:name w:val="Normal (Web)"/>
    <w:basedOn w:val="Normal"/>
    <w:uiPriority w:val="99"/>
    <w:qFormat/>
    <w:rsid w:val="008C1DE2"/>
    <w:pPr>
      <w:spacing w:before="280" w:after="280" w:line="480" w:lineRule="auto"/>
      <w:ind w:firstLine="709"/>
    </w:pPr>
    <w:rPr>
      <w:rFonts w:eastAsia="SimSun"/>
      <w:color w:val="00000A"/>
      <w:lang w:val="en-GB" w:eastAsia="zh-CN"/>
    </w:rPr>
  </w:style>
  <w:style w:type="paragraph" w:customStyle="1" w:styleId="Stile1">
    <w:name w:val="Stile1"/>
    <w:basedOn w:val="Heading4"/>
    <w:qFormat/>
    <w:rsid w:val="008C1DE2"/>
    <w:pPr>
      <w:numPr>
        <w:ilvl w:val="0"/>
        <w:numId w:val="0"/>
      </w:numPr>
      <w:spacing w:before="120"/>
      <w:ind w:firstLine="510"/>
      <w:jc w:val="left"/>
    </w:pPr>
    <w:rPr>
      <w:rFonts w:ascii="Optima" w:hAnsi="Optima"/>
    </w:rPr>
  </w:style>
  <w:style w:type="paragraph" w:styleId="TableofFigures">
    <w:name w:val="table of figures"/>
    <w:basedOn w:val="Normal"/>
    <w:next w:val="Normal"/>
    <w:qFormat/>
    <w:rsid w:val="008C1DE2"/>
    <w:pPr>
      <w:spacing w:line="360" w:lineRule="auto"/>
      <w:ind w:left="480" w:hanging="480"/>
      <w:jc w:val="both"/>
    </w:pPr>
    <w:rPr>
      <w:color w:val="00000A"/>
      <w:lang w:val="en-GB"/>
    </w:rPr>
  </w:style>
  <w:style w:type="paragraph" w:styleId="TOC3">
    <w:name w:val="toc 3"/>
    <w:basedOn w:val="Normal"/>
    <w:next w:val="Normal"/>
    <w:autoRedefine/>
    <w:rsid w:val="008C1DE2"/>
    <w:pPr>
      <w:spacing w:line="360" w:lineRule="auto"/>
      <w:ind w:left="480" w:firstLine="709"/>
    </w:pPr>
    <w:rPr>
      <w:i/>
      <w:color w:val="00000A"/>
      <w:sz w:val="20"/>
      <w:szCs w:val="20"/>
      <w:lang w:val="en-GB"/>
    </w:rPr>
  </w:style>
  <w:style w:type="paragraph" w:styleId="ListParagraph">
    <w:name w:val="List Paragraph"/>
    <w:basedOn w:val="Normal"/>
    <w:uiPriority w:val="34"/>
    <w:qFormat/>
    <w:rsid w:val="008C1DE2"/>
    <w:pPr>
      <w:spacing w:line="360" w:lineRule="auto"/>
      <w:ind w:left="720" w:firstLine="709"/>
      <w:contextualSpacing/>
      <w:jc w:val="both"/>
    </w:pPr>
    <w:rPr>
      <w:color w:val="00000A"/>
      <w:lang w:val="en-GB"/>
    </w:rPr>
  </w:style>
  <w:style w:type="paragraph" w:customStyle="1" w:styleId="TableParagraph">
    <w:name w:val="Table Paragraph"/>
    <w:basedOn w:val="Normal"/>
    <w:qFormat/>
    <w:rsid w:val="008C1DE2"/>
    <w:pPr>
      <w:widowControl w:val="0"/>
      <w:spacing w:line="480" w:lineRule="auto"/>
      <w:ind w:firstLine="709"/>
    </w:pPr>
    <w:rPr>
      <w:color w:val="00000A"/>
      <w:sz w:val="22"/>
      <w:szCs w:val="22"/>
      <w:lang w:val="en-GB" w:eastAsia="en-US"/>
    </w:rPr>
  </w:style>
  <w:style w:type="paragraph" w:customStyle="1" w:styleId="FrameContents">
    <w:name w:val="Frame Contents"/>
    <w:basedOn w:val="Normal"/>
    <w:qFormat/>
    <w:rsid w:val="008C1DE2"/>
    <w:pPr>
      <w:spacing w:line="360" w:lineRule="auto"/>
      <w:ind w:firstLine="709"/>
      <w:jc w:val="both"/>
    </w:pPr>
    <w:rPr>
      <w:color w:val="00000A"/>
      <w:lang w:val="en-GB"/>
    </w:rPr>
  </w:style>
  <w:style w:type="paragraph" w:customStyle="1" w:styleId="TableContents">
    <w:name w:val="Table Contents"/>
    <w:basedOn w:val="Normal"/>
    <w:qFormat/>
    <w:rsid w:val="008C1DE2"/>
    <w:pPr>
      <w:spacing w:line="360" w:lineRule="auto"/>
      <w:ind w:firstLine="709"/>
      <w:jc w:val="both"/>
    </w:pPr>
    <w:rPr>
      <w:color w:val="00000A"/>
      <w:lang w:val="en-GB"/>
    </w:rPr>
  </w:style>
  <w:style w:type="paragraph" w:customStyle="1" w:styleId="TableHeading">
    <w:name w:val="Table Heading"/>
    <w:basedOn w:val="TableContents"/>
    <w:qFormat/>
    <w:rsid w:val="008C1DE2"/>
  </w:style>
  <w:style w:type="paragraph" w:customStyle="1" w:styleId="Quotations">
    <w:name w:val="Quotations"/>
    <w:basedOn w:val="Normal"/>
    <w:qFormat/>
    <w:rsid w:val="008C1DE2"/>
    <w:pPr>
      <w:spacing w:line="360" w:lineRule="auto"/>
      <w:ind w:firstLine="709"/>
      <w:jc w:val="both"/>
    </w:pPr>
    <w:rPr>
      <w:color w:val="00000A"/>
      <w:lang w:val="en-GB"/>
    </w:rPr>
  </w:style>
  <w:style w:type="paragraph" w:customStyle="1" w:styleId="Heading10">
    <w:name w:val="Heading 10"/>
    <w:basedOn w:val="Heading"/>
    <w:qFormat/>
    <w:rsid w:val="008C1DE2"/>
  </w:style>
  <w:style w:type="table" w:styleId="LightList">
    <w:name w:val="Light List"/>
    <w:basedOn w:val="TableNormal"/>
    <w:uiPriority w:val="61"/>
    <w:rsid w:val="008C1DE2"/>
    <w:rPr>
      <w:rFonts w:eastAsiaTheme="minorEastAsia"/>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8C1DE2"/>
    <w:pPr>
      <w:spacing w:line="480" w:lineRule="auto"/>
      <w:ind w:firstLine="709"/>
      <w:jc w:val="both"/>
    </w:pPr>
    <w:rPr>
      <w:color w:val="00000A"/>
      <w:lang w:val="en-GB"/>
    </w:rPr>
  </w:style>
  <w:style w:type="character" w:customStyle="1" w:styleId="EndnoteTextChar">
    <w:name w:val="Endnote Text Char"/>
    <w:basedOn w:val="DefaultParagraphFont"/>
    <w:link w:val="EndnoteText"/>
    <w:uiPriority w:val="99"/>
    <w:rsid w:val="008C1DE2"/>
    <w:rPr>
      <w:rFonts w:ascii="Times New Roman" w:eastAsia="Times New Roman" w:hAnsi="Times New Roman" w:cs="Times New Roman"/>
      <w:color w:val="00000A"/>
      <w:lang w:val="en-GB" w:eastAsia="it-IT"/>
    </w:rPr>
  </w:style>
  <w:style w:type="character" w:styleId="EndnoteReference">
    <w:name w:val="endnote reference"/>
    <w:basedOn w:val="DefaultParagraphFont"/>
    <w:uiPriority w:val="99"/>
    <w:unhideWhenUsed/>
    <w:rsid w:val="008C1DE2"/>
    <w:rPr>
      <w:vertAlign w:val="superscript"/>
    </w:rPr>
  </w:style>
  <w:style w:type="paragraph" w:styleId="Bibliography">
    <w:name w:val="Bibliography"/>
    <w:basedOn w:val="Normal"/>
    <w:next w:val="Normal"/>
    <w:uiPriority w:val="37"/>
    <w:unhideWhenUsed/>
    <w:rsid w:val="008C1DE2"/>
    <w:pPr>
      <w:spacing w:line="360" w:lineRule="auto"/>
      <w:ind w:firstLine="709"/>
      <w:jc w:val="both"/>
    </w:pPr>
    <w:rPr>
      <w:color w:val="00000A"/>
      <w:lang w:val="en-GB"/>
    </w:rPr>
  </w:style>
  <w:style w:type="paragraph" w:styleId="Revision">
    <w:name w:val="Revision"/>
    <w:hidden/>
    <w:uiPriority w:val="99"/>
    <w:semiHidden/>
    <w:rsid w:val="008C1DE2"/>
    <w:rPr>
      <w:rFonts w:ascii="Times New Roman" w:eastAsia="Times New Roman" w:hAnsi="Times New Roman" w:cs="Times New Roman"/>
      <w:color w:val="00000A"/>
      <w:lang w:val="en-GB" w:eastAsia="it-IT"/>
    </w:rPr>
  </w:style>
  <w:style w:type="table" w:styleId="TableSimple2">
    <w:name w:val="Table Simple 2"/>
    <w:basedOn w:val="TableNormal"/>
    <w:uiPriority w:val="99"/>
    <w:unhideWhenUsed/>
    <w:rsid w:val="008C1DE2"/>
    <w:pPr>
      <w:spacing w:line="360" w:lineRule="auto"/>
      <w:ind w:firstLine="709"/>
      <w:jc w:val="both"/>
    </w:pPr>
    <w:rPr>
      <w:rFonts w:ascii="Cambria" w:eastAsia="Tahoma" w:hAnsi="Cambria" w:cs="Tahoma"/>
      <w:sz w:val="20"/>
      <w:szCs w:val="20"/>
      <w:lang w:val="en-GB" w:eastAsia="ja-JP"/>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uiPriority w:val="99"/>
    <w:unhideWhenUsed/>
    <w:rsid w:val="008C1DE2"/>
    <w:pPr>
      <w:spacing w:line="360" w:lineRule="auto"/>
      <w:ind w:firstLine="709"/>
      <w:jc w:val="both"/>
    </w:pPr>
    <w:rPr>
      <w:rFonts w:ascii="Cambria" w:eastAsia="Tahoma" w:hAnsi="Cambria" w:cs="Tahoma"/>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PlainTable4">
    <w:name w:val="Plain Table 4"/>
    <w:basedOn w:val="TableNormal"/>
    <w:uiPriority w:val="44"/>
    <w:rsid w:val="008C1DE2"/>
    <w:rPr>
      <w:rFonts w:ascii="Cambria" w:eastAsia="Tahoma" w:hAnsi="Cambria" w:cs="Tahoma"/>
      <w:sz w:val="20"/>
      <w:szCs w:val="20"/>
      <w:lang w:val="en-GB"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C1DE2"/>
    <w:rPr>
      <w:rFonts w:ascii="Cambria" w:eastAsia="Tahoma" w:hAnsi="Cambria" w:cs="Tahoma"/>
      <w:sz w:val="20"/>
      <w:szCs w:val="20"/>
      <w:lang w:val="en-GB"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C1DE2"/>
    <w:rPr>
      <w:rFonts w:ascii="Cambria" w:eastAsia="Tahoma" w:hAnsi="Cambria" w:cs="Tahoma"/>
      <w:sz w:val="20"/>
      <w:szCs w:val="20"/>
      <w:lang w:val="en-GB"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99"/>
    <w:unhideWhenUsed/>
    <w:rsid w:val="008C1DE2"/>
    <w:pPr>
      <w:spacing w:line="360" w:lineRule="auto"/>
      <w:ind w:firstLine="709"/>
      <w:jc w:val="both"/>
    </w:pPr>
    <w:rPr>
      <w:rFonts w:ascii="Cambria" w:eastAsia="Tahoma" w:hAnsi="Cambria" w:cs="Tahoma"/>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ListTable6Colorful">
    <w:name w:val="List Table 6 Colorful"/>
    <w:basedOn w:val="TableNormal"/>
    <w:uiPriority w:val="51"/>
    <w:rsid w:val="008C1DE2"/>
    <w:rPr>
      <w:rFonts w:ascii="Cambria" w:eastAsia="Tahoma" w:hAnsi="Cambria" w:cs="Tahoma"/>
      <w:color w:val="000000" w:themeColor="text1"/>
      <w:sz w:val="20"/>
      <w:szCs w:val="20"/>
      <w:lang w:val="en-GB" w:eastAsia="ja-JP"/>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E7DCC"/>
    <w:rPr>
      <w:color w:val="0563C1" w:themeColor="hyperlink"/>
      <w:u w:val="single"/>
    </w:rPr>
  </w:style>
  <w:style w:type="character" w:styleId="UnresolvedMention">
    <w:name w:val="Unresolved Mention"/>
    <w:basedOn w:val="DefaultParagraphFont"/>
    <w:uiPriority w:val="99"/>
    <w:rsid w:val="009E7D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918">
      <w:bodyDiv w:val="1"/>
      <w:marLeft w:val="0"/>
      <w:marRight w:val="0"/>
      <w:marTop w:val="0"/>
      <w:marBottom w:val="0"/>
      <w:divBdr>
        <w:top w:val="none" w:sz="0" w:space="0" w:color="auto"/>
        <w:left w:val="none" w:sz="0" w:space="0" w:color="auto"/>
        <w:bottom w:val="none" w:sz="0" w:space="0" w:color="auto"/>
        <w:right w:val="none" w:sz="0" w:space="0" w:color="auto"/>
      </w:divBdr>
      <w:divsChild>
        <w:div w:id="1889603241">
          <w:marLeft w:val="480"/>
          <w:marRight w:val="0"/>
          <w:marTop w:val="0"/>
          <w:marBottom w:val="0"/>
          <w:divBdr>
            <w:top w:val="none" w:sz="0" w:space="0" w:color="auto"/>
            <w:left w:val="none" w:sz="0" w:space="0" w:color="auto"/>
            <w:bottom w:val="none" w:sz="0" w:space="0" w:color="auto"/>
            <w:right w:val="none" w:sz="0" w:space="0" w:color="auto"/>
          </w:divBdr>
          <w:divsChild>
            <w:div w:id="1256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5731">
      <w:bodyDiv w:val="1"/>
      <w:marLeft w:val="0"/>
      <w:marRight w:val="0"/>
      <w:marTop w:val="0"/>
      <w:marBottom w:val="0"/>
      <w:divBdr>
        <w:top w:val="none" w:sz="0" w:space="0" w:color="auto"/>
        <w:left w:val="none" w:sz="0" w:space="0" w:color="auto"/>
        <w:bottom w:val="none" w:sz="0" w:space="0" w:color="auto"/>
        <w:right w:val="none" w:sz="0" w:space="0" w:color="auto"/>
      </w:divBdr>
      <w:divsChild>
        <w:div w:id="1420516388">
          <w:marLeft w:val="480"/>
          <w:marRight w:val="0"/>
          <w:marTop w:val="0"/>
          <w:marBottom w:val="0"/>
          <w:divBdr>
            <w:top w:val="none" w:sz="0" w:space="0" w:color="auto"/>
            <w:left w:val="none" w:sz="0" w:space="0" w:color="auto"/>
            <w:bottom w:val="none" w:sz="0" w:space="0" w:color="auto"/>
            <w:right w:val="none" w:sz="0" w:space="0" w:color="auto"/>
          </w:divBdr>
          <w:divsChild>
            <w:div w:id="4725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296">
      <w:bodyDiv w:val="1"/>
      <w:marLeft w:val="0"/>
      <w:marRight w:val="0"/>
      <w:marTop w:val="0"/>
      <w:marBottom w:val="0"/>
      <w:divBdr>
        <w:top w:val="none" w:sz="0" w:space="0" w:color="auto"/>
        <w:left w:val="none" w:sz="0" w:space="0" w:color="auto"/>
        <w:bottom w:val="none" w:sz="0" w:space="0" w:color="auto"/>
        <w:right w:val="none" w:sz="0" w:space="0" w:color="auto"/>
      </w:divBdr>
    </w:div>
    <w:div w:id="248780932">
      <w:bodyDiv w:val="1"/>
      <w:marLeft w:val="0"/>
      <w:marRight w:val="0"/>
      <w:marTop w:val="0"/>
      <w:marBottom w:val="0"/>
      <w:divBdr>
        <w:top w:val="none" w:sz="0" w:space="0" w:color="auto"/>
        <w:left w:val="none" w:sz="0" w:space="0" w:color="auto"/>
        <w:bottom w:val="none" w:sz="0" w:space="0" w:color="auto"/>
        <w:right w:val="none" w:sz="0" w:space="0" w:color="auto"/>
      </w:divBdr>
    </w:div>
    <w:div w:id="271744322">
      <w:bodyDiv w:val="1"/>
      <w:marLeft w:val="0"/>
      <w:marRight w:val="0"/>
      <w:marTop w:val="0"/>
      <w:marBottom w:val="0"/>
      <w:divBdr>
        <w:top w:val="none" w:sz="0" w:space="0" w:color="auto"/>
        <w:left w:val="none" w:sz="0" w:space="0" w:color="auto"/>
        <w:bottom w:val="none" w:sz="0" w:space="0" w:color="auto"/>
        <w:right w:val="none" w:sz="0" w:space="0" w:color="auto"/>
      </w:divBdr>
    </w:div>
    <w:div w:id="319577663">
      <w:bodyDiv w:val="1"/>
      <w:marLeft w:val="0"/>
      <w:marRight w:val="0"/>
      <w:marTop w:val="0"/>
      <w:marBottom w:val="0"/>
      <w:divBdr>
        <w:top w:val="none" w:sz="0" w:space="0" w:color="auto"/>
        <w:left w:val="none" w:sz="0" w:space="0" w:color="auto"/>
        <w:bottom w:val="none" w:sz="0" w:space="0" w:color="auto"/>
        <w:right w:val="none" w:sz="0" w:space="0" w:color="auto"/>
      </w:divBdr>
    </w:div>
    <w:div w:id="475340221">
      <w:bodyDiv w:val="1"/>
      <w:marLeft w:val="0"/>
      <w:marRight w:val="0"/>
      <w:marTop w:val="0"/>
      <w:marBottom w:val="0"/>
      <w:divBdr>
        <w:top w:val="none" w:sz="0" w:space="0" w:color="auto"/>
        <w:left w:val="none" w:sz="0" w:space="0" w:color="auto"/>
        <w:bottom w:val="none" w:sz="0" w:space="0" w:color="auto"/>
        <w:right w:val="none" w:sz="0" w:space="0" w:color="auto"/>
      </w:divBdr>
      <w:divsChild>
        <w:div w:id="1981114296">
          <w:marLeft w:val="480"/>
          <w:marRight w:val="0"/>
          <w:marTop w:val="0"/>
          <w:marBottom w:val="0"/>
          <w:divBdr>
            <w:top w:val="none" w:sz="0" w:space="0" w:color="auto"/>
            <w:left w:val="none" w:sz="0" w:space="0" w:color="auto"/>
            <w:bottom w:val="none" w:sz="0" w:space="0" w:color="auto"/>
            <w:right w:val="none" w:sz="0" w:space="0" w:color="auto"/>
          </w:divBdr>
          <w:divsChild>
            <w:div w:id="2978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1812">
      <w:bodyDiv w:val="1"/>
      <w:marLeft w:val="0"/>
      <w:marRight w:val="0"/>
      <w:marTop w:val="0"/>
      <w:marBottom w:val="0"/>
      <w:divBdr>
        <w:top w:val="none" w:sz="0" w:space="0" w:color="auto"/>
        <w:left w:val="none" w:sz="0" w:space="0" w:color="auto"/>
        <w:bottom w:val="none" w:sz="0" w:space="0" w:color="auto"/>
        <w:right w:val="none" w:sz="0" w:space="0" w:color="auto"/>
      </w:divBdr>
    </w:div>
    <w:div w:id="547305463">
      <w:bodyDiv w:val="1"/>
      <w:marLeft w:val="0"/>
      <w:marRight w:val="0"/>
      <w:marTop w:val="0"/>
      <w:marBottom w:val="0"/>
      <w:divBdr>
        <w:top w:val="none" w:sz="0" w:space="0" w:color="auto"/>
        <w:left w:val="none" w:sz="0" w:space="0" w:color="auto"/>
        <w:bottom w:val="none" w:sz="0" w:space="0" w:color="auto"/>
        <w:right w:val="none" w:sz="0" w:space="0" w:color="auto"/>
      </w:divBdr>
      <w:divsChild>
        <w:div w:id="519664212">
          <w:marLeft w:val="480"/>
          <w:marRight w:val="0"/>
          <w:marTop w:val="0"/>
          <w:marBottom w:val="0"/>
          <w:divBdr>
            <w:top w:val="none" w:sz="0" w:space="0" w:color="auto"/>
            <w:left w:val="none" w:sz="0" w:space="0" w:color="auto"/>
            <w:bottom w:val="none" w:sz="0" w:space="0" w:color="auto"/>
            <w:right w:val="none" w:sz="0" w:space="0" w:color="auto"/>
          </w:divBdr>
          <w:divsChild>
            <w:div w:id="7034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00">
      <w:bodyDiv w:val="1"/>
      <w:marLeft w:val="0"/>
      <w:marRight w:val="0"/>
      <w:marTop w:val="0"/>
      <w:marBottom w:val="0"/>
      <w:divBdr>
        <w:top w:val="none" w:sz="0" w:space="0" w:color="auto"/>
        <w:left w:val="none" w:sz="0" w:space="0" w:color="auto"/>
        <w:bottom w:val="none" w:sz="0" w:space="0" w:color="auto"/>
        <w:right w:val="none" w:sz="0" w:space="0" w:color="auto"/>
      </w:divBdr>
      <w:divsChild>
        <w:div w:id="178005793">
          <w:marLeft w:val="480"/>
          <w:marRight w:val="0"/>
          <w:marTop w:val="0"/>
          <w:marBottom w:val="0"/>
          <w:divBdr>
            <w:top w:val="none" w:sz="0" w:space="0" w:color="auto"/>
            <w:left w:val="none" w:sz="0" w:space="0" w:color="auto"/>
            <w:bottom w:val="none" w:sz="0" w:space="0" w:color="auto"/>
            <w:right w:val="none" w:sz="0" w:space="0" w:color="auto"/>
          </w:divBdr>
          <w:divsChild>
            <w:div w:id="9532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528">
      <w:bodyDiv w:val="1"/>
      <w:marLeft w:val="0"/>
      <w:marRight w:val="0"/>
      <w:marTop w:val="0"/>
      <w:marBottom w:val="0"/>
      <w:divBdr>
        <w:top w:val="none" w:sz="0" w:space="0" w:color="auto"/>
        <w:left w:val="none" w:sz="0" w:space="0" w:color="auto"/>
        <w:bottom w:val="none" w:sz="0" w:space="0" w:color="auto"/>
        <w:right w:val="none" w:sz="0" w:space="0" w:color="auto"/>
      </w:divBdr>
      <w:divsChild>
        <w:div w:id="1529566719">
          <w:marLeft w:val="480"/>
          <w:marRight w:val="0"/>
          <w:marTop w:val="0"/>
          <w:marBottom w:val="0"/>
          <w:divBdr>
            <w:top w:val="none" w:sz="0" w:space="0" w:color="auto"/>
            <w:left w:val="none" w:sz="0" w:space="0" w:color="auto"/>
            <w:bottom w:val="none" w:sz="0" w:space="0" w:color="auto"/>
            <w:right w:val="none" w:sz="0" w:space="0" w:color="auto"/>
          </w:divBdr>
          <w:divsChild>
            <w:div w:id="12152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8259">
      <w:bodyDiv w:val="1"/>
      <w:marLeft w:val="0"/>
      <w:marRight w:val="0"/>
      <w:marTop w:val="0"/>
      <w:marBottom w:val="0"/>
      <w:divBdr>
        <w:top w:val="none" w:sz="0" w:space="0" w:color="auto"/>
        <w:left w:val="none" w:sz="0" w:space="0" w:color="auto"/>
        <w:bottom w:val="none" w:sz="0" w:space="0" w:color="auto"/>
        <w:right w:val="none" w:sz="0" w:space="0" w:color="auto"/>
      </w:divBdr>
    </w:div>
    <w:div w:id="688725030">
      <w:bodyDiv w:val="1"/>
      <w:marLeft w:val="0"/>
      <w:marRight w:val="0"/>
      <w:marTop w:val="0"/>
      <w:marBottom w:val="0"/>
      <w:divBdr>
        <w:top w:val="none" w:sz="0" w:space="0" w:color="auto"/>
        <w:left w:val="none" w:sz="0" w:space="0" w:color="auto"/>
        <w:bottom w:val="none" w:sz="0" w:space="0" w:color="auto"/>
        <w:right w:val="none" w:sz="0" w:space="0" w:color="auto"/>
      </w:divBdr>
      <w:divsChild>
        <w:div w:id="2030258122">
          <w:marLeft w:val="480"/>
          <w:marRight w:val="0"/>
          <w:marTop w:val="0"/>
          <w:marBottom w:val="0"/>
          <w:divBdr>
            <w:top w:val="none" w:sz="0" w:space="0" w:color="auto"/>
            <w:left w:val="none" w:sz="0" w:space="0" w:color="auto"/>
            <w:bottom w:val="none" w:sz="0" w:space="0" w:color="auto"/>
            <w:right w:val="none" w:sz="0" w:space="0" w:color="auto"/>
          </w:divBdr>
          <w:divsChild>
            <w:div w:id="7601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7701">
      <w:bodyDiv w:val="1"/>
      <w:marLeft w:val="0"/>
      <w:marRight w:val="0"/>
      <w:marTop w:val="0"/>
      <w:marBottom w:val="0"/>
      <w:divBdr>
        <w:top w:val="none" w:sz="0" w:space="0" w:color="auto"/>
        <w:left w:val="none" w:sz="0" w:space="0" w:color="auto"/>
        <w:bottom w:val="none" w:sz="0" w:space="0" w:color="auto"/>
        <w:right w:val="none" w:sz="0" w:space="0" w:color="auto"/>
      </w:divBdr>
    </w:div>
    <w:div w:id="923608232">
      <w:bodyDiv w:val="1"/>
      <w:marLeft w:val="0"/>
      <w:marRight w:val="0"/>
      <w:marTop w:val="0"/>
      <w:marBottom w:val="0"/>
      <w:divBdr>
        <w:top w:val="none" w:sz="0" w:space="0" w:color="auto"/>
        <w:left w:val="none" w:sz="0" w:space="0" w:color="auto"/>
        <w:bottom w:val="none" w:sz="0" w:space="0" w:color="auto"/>
        <w:right w:val="none" w:sz="0" w:space="0" w:color="auto"/>
      </w:divBdr>
    </w:div>
    <w:div w:id="935749321">
      <w:bodyDiv w:val="1"/>
      <w:marLeft w:val="0"/>
      <w:marRight w:val="0"/>
      <w:marTop w:val="0"/>
      <w:marBottom w:val="0"/>
      <w:divBdr>
        <w:top w:val="none" w:sz="0" w:space="0" w:color="auto"/>
        <w:left w:val="none" w:sz="0" w:space="0" w:color="auto"/>
        <w:bottom w:val="none" w:sz="0" w:space="0" w:color="auto"/>
        <w:right w:val="none" w:sz="0" w:space="0" w:color="auto"/>
      </w:divBdr>
      <w:divsChild>
        <w:div w:id="1716657399">
          <w:marLeft w:val="480"/>
          <w:marRight w:val="0"/>
          <w:marTop w:val="0"/>
          <w:marBottom w:val="0"/>
          <w:divBdr>
            <w:top w:val="none" w:sz="0" w:space="0" w:color="auto"/>
            <w:left w:val="none" w:sz="0" w:space="0" w:color="auto"/>
            <w:bottom w:val="none" w:sz="0" w:space="0" w:color="auto"/>
            <w:right w:val="none" w:sz="0" w:space="0" w:color="auto"/>
          </w:divBdr>
          <w:divsChild>
            <w:div w:id="17109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6941">
      <w:bodyDiv w:val="1"/>
      <w:marLeft w:val="0"/>
      <w:marRight w:val="0"/>
      <w:marTop w:val="0"/>
      <w:marBottom w:val="0"/>
      <w:divBdr>
        <w:top w:val="none" w:sz="0" w:space="0" w:color="auto"/>
        <w:left w:val="none" w:sz="0" w:space="0" w:color="auto"/>
        <w:bottom w:val="none" w:sz="0" w:space="0" w:color="auto"/>
        <w:right w:val="none" w:sz="0" w:space="0" w:color="auto"/>
      </w:divBdr>
    </w:div>
    <w:div w:id="980231073">
      <w:bodyDiv w:val="1"/>
      <w:marLeft w:val="0"/>
      <w:marRight w:val="0"/>
      <w:marTop w:val="0"/>
      <w:marBottom w:val="0"/>
      <w:divBdr>
        <w:top w:val="none" w:sz="0" w:space="0" w:color="auto"/>
        <w:left w:val="none" w:sz="0" w:space="0" w:color="auto"/>
        <w:bottom w:val="none" w:sz="0" w:space="0" w:color="auto"/>
        <w:right w:val="none" w:sz="0" w:space="0" w:color="auto"/>
      </w:divBdr>
    </w:div>
    <w:div w:id="1050689232">
      <w:bodyDiv w:val="1"/>
      <w:marLeft w:val="0"/>
      <w:marRight w:val="0"/>
      <w:marTop w:val="0"/>
      <w:marBottom w:val="0"/>
      <w:divBdr>
        <w:top w:val="none" w:sz="0" w:space="0" w:color="auto"/>
        <w:left w:val="none" w:sz="0" w:space="0" w:color="auto"/>
        <w:bottom w:val="none" w:sz="0" w:space="0" w:color="auto"/>
        <w:right w:val="none" w:sz="0" w:space="0" w:color="auto"/>
      </w:divBdr>
    </w:div>
    <w:div w:id="1308323007">
      <w:bodyDiv w:val="1"/>
      <w:marLeft w:val="0"/>
      <w:marRight w:val="0"/>
      <w:marTop w:val="0"/>
      <w:marBottom w:val="0"/>
      <w:divBdr>
        <w:top w:val="none" w:sz="0" w:space="0" w:color="auto"/>
        <w:left w:val="none" w:sz="0" w:space="0" w:color="auto"/>
        <w:bottom w:val="none" w:sz="0" w:space="0" w:color="auto"/>
        <w:right w:val="none" w:sz="0" w:space="0" w:color="auto"/>
      </w:divBdr>
      <w:divsChild>
        <w:div w:id="1399745659">
          <w:marLeft w:val="480"/>
          <w:marRight w:val="0"/>
          <w:marTop w:val="0"/>
          <w:marBottom w:val="0"/>
          <w:divBdr>
            <w:top w:val="none" w:sz="0" w:space="0" w:color="auto"/>
            <w:left w:val="none" w:sz="0" w:space="0" w:color="auto"/>
            <w:bottom w:val="none" w:sz="0" w:space="0" w:color="auto"/>
            <w:right w:val="none" w:sz="0" w:space="0" w:color="auto"/>
          </w:divBdr>
          <w:divsChild>
            <w:div w:id="1301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0164">
      <w:bodyDiv w:val="1"/>
      <w:marLeft w:val="0"/>
      <w:marRight w:val="0"/>
      <w:marTop w:val="0"/>
      <w:marBottom w:val="0"/>
      <w:divBdr>
        <w:top w:val="none" w:sz="0" w:space="0" w:color="auto"/>
        <w:left w:val="none" w:sz="0" w:space="0" w:color="auto"/>
        <w:bottom w:val="none" w:sz="0" w:space="0" w:color="auto"/>
        <w:right w:val="none" w:sz="0" w:space="0" w:color="auto"/>
      </w:divBdr>
    </w:div>
    <w:div w:id="1433933451">
      <w:bodyDiv w:val="1"/>
      <w:marLeft w:val="0"/>
      <w:marRight w:val="0"/>
      <w:marTop w:val="0"/>
      <w:marBottom w:val="0"/>
      <w:divBdr>
        <w:top w:val="none" w:sz="0" w:space="0" w:color="auto"/>
        <w:left w:val="none" w:sz="0" w:space="0" w:color="auto"/>
        <w:bottom w:val="none" w:sz="0" w:space="0" w:color="auto"/>
        <w:right w:val="none" w:sz="0" w:space="0" w:color="auto"/>
      </w:divBdr>
      <w:divsChild>
        <w:div w:id="1680231451">
          <w:marLeft w:val="480"/>
          <w:marRight w:val="0"/>
          <w:marTop w:val="0"/>
          <w:marBottom w:val="0"/>
          <w:divBdr>
            <w:top w:val="none" w:sz="0" w:space="0" w:color="auto"/>
            <w:left w:val="none" w:sz="0" w:space="0" w:color="auto"/>
            <w:bottom w:val="none" w:sz="0" w:space="0" w:color="auto"/>
            <w:right w:val="none" w:sz="0" w:space="0" w:color="auto"/>
          </w:divBdr>
          <w:divsChild>
            <w:div w:id="1707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3183">
      <w:bodyDiv w:val="1"/>
      <w:marLeft w:val="0"/>
      <w:marRight w:val="0"/>
      <w:marTop w:val="0"/>
      <w:marBottom w:val="0"/>
      <w:divBdr>
        <w:top w:val="none" w:sz="0" w:space="0" w:color="auto"/>
        <w:left w:val="none" w:sz="0" w:space="0" w:color="auto"/>
        <w:bottom w:val="none" w:sz="0" w:space="0" w:color="auto"/>
        <w:right w:val="none" w:sz="0" w:space="0" w:color="auto"/>
      </w:divBdr>
      <w:divsChild>
        <w:div w:id="324629511">
          <w:marLeft w:val="480"/>
          <w:marRight w:val="0"/>
          <w:marTop w:val="0"/>
          <w:marBottom w:val="0"/>
          <w:divBdr>
            <w:top w:val="none" w:sz="0" w:space="0" w:color="auto"/>
            <w:left w:val="none" w:sz="0" w:space="0" w:color="auto"/>
            <w:bottom w:val="none" w:sz="0" w:space="0" w:color="auto"/>
            <w:right w:val="none" w:sz="0" w:space="0" w:color="auto"/>
          </w:divBdr>
          <w:divsChild>
            <w:div w:id="928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093">
      <w:bodyDiv w:val="1"/>
      <w:marLeft w:val="0"/>
      <w:marRight w:val="0"/>
      <w:marTop w:val="0"/>
      <w:marBottom w:val="0"/>
      <w:divBdr>
        <w:top w:val="none" w:sz="0" w:space="0" w:color="auto"/>
        <w:left w:val="none" w:sz="0" w:space="0" w:color="auto"/>
        <w:bottom w:val="none" w:sz="0" w:space="0" w:color="auto"/>
        <w:right w:val="none" w:sz="0" w:space="0" w:color="auto"/>
      </w:divBdr>
    </w:div>
    <w:div w:id="1751538715">
      <w:bodyDiv w:val="1"/>
      <w:marLeft w:val="0"/>
      <w:marRight w:val="0"/>
      <w:marTop w:val="0"/>
      <w:marBottom w:val="0"/>
      <w:divBdr>
        <w:top w:val="none" w:sz="0" w:space="0" w:color="auto"/>
        <w:left w:val="none" w:sz="0" w:space="0" w:color="auto"/>
        <w:bottom w:val="none" w:sz="0" w:space="0" w:color="auto"/>
        <w:right w:val="none" w:sz="0" w:space="0" w:color="auto"/>
      </w:divBdr>
      <w:divsChild>
        <w:div w:id="277681359">
          <w:marLeft w:val="480"/>
          <w:marRight w:val="0"/>
          <w:marTop w:val="0"/>
          <w:marBottom w:val="0"/>
          <w:divBdr>
            <w:top w:val="none" w:sz="0" w:space="0" w:color="auto"/>
            <w:left w:val="none" w:sz="0" w:space="0" w:color="auto"/>
            <w:bottom w:val="none" w:sz="0" w:space="0" w:color="auto"/>
            <w:right w:val="none" w:sz="0" w:space="0" w:color="auto"/>
          </w:divBdr>
          <w:divsChild>
            <w:div w:id="334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70597">
      <w:bodyDiv w:val="1"/>
      <w:marLeft w:val="0"/>
      <w:marRight w:val="0"/>
      <w:marTop w:val="0"/>
      <w:marBottom w:val="0"/>
      <w:divBdr>
        <w:top w:val="none" w:sz="0" w:space="0" w:color="auto"/>
        <w:left w:val="none" w:sz="0" w:space="0" w:color="auto"/>
        <w:bottom w:val="none" w:sz="0" w:space="0" w:color="auto"/>
        <w:right w:val="none" w:sz="0" w:space="0" w:color="auto"/>
      </w:divBdr>
    </w:div>
    <w:div w:id="1822115173">
      <w:bodyDiv w:val="1"/>
      <w:marLeft w:val="0"/>
      <w:marRight w:val="0"/>
      <w:marTop w:val="0"/>
      <w:marBottom w:val="0"/>
      <w:divBdr>
        <w:top w:val="none" w:sz="0" w:space="0" w:color="auto"/>
        <w:left w:val="none" w:sz="0" w:space="0" w:color="auto"/>
        <w:bottom w:val="none" w:sz="0" w:space="0" w:color="auto"/>
        <w:right w:val="none" w:sz="0" w:space="0" w:color="auto"/>
      </w:divBdr>
    </w:div>
    <w:div w:id="1913195275">
      <w:bodyDiv w:val="1"/>
      <w:marLeft w:val="0"/>
      <w:marRight w:val="0"/>
      <w:marTop w:val="0"/>
      <w:marBottom w:val="0"/>
      <w:divBdr>
        <w:top w:val="none" w:sz="0" w:space="0" w:color="auto"/>
        <w:left w:val="none" w:sz="0" w:space="0" w:color="auto"/>
        <w:bottom w:val="none" w:sz="0" w:space="0" w:color="auto"/>
        <w:right w:val="none" w:sz="0" w:space="0" w:color="auto"/>
      </w:divBdr>
      <w:divsChild>
        <w:div w:id="1166828013">
          <w:marLeft w:val="480"/>
          <w:marRight w:val="0"/>
          <w:marTop w:val="0"/>
          <w:marBottom w:val="0"/>
          <w:divBdr>
            <w:top w:val="none" w:sz="0" w:space="0" w:color="auto"/>
            <w:left w:val="none" w:sz="0" w:space="0" w:color="auto"/>
            <w:bottom w:val="none" w:sz="0" w:space="0" w:color="auto"/>
            <w:right w:val="none" w:sz="0" w:space="0" w:color="auto"/>
          </w:divBdr>
          <w:divsChild>
            <w:div w:id="10841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4665">
      <w:bodyDiv w:val="1"/>
      <w:marLeft w:val="0"/>
      <w:marRight w:val="0"/>
      <w:marTop w:val="0"/>
      <w:marBottom w:val="0"/>
      <w:divBdr>
        <w:top w:val="none" w:sz="0" w:space="0" w:color="auto"/>
        <w:left w:val="none" w:sz="0" w:space="0" w:color="auto"/>
        <w:bottom w:val="none" w:sz="0" w:space="0" w:color="auto"/>
        <w:right w:val="none" w:sz="0" w:space="0" w:color="auto"/>
      </w:divBdr>
    </w:div>
    <w:div w:id="1959144002">
      <w:bodyDiv w:val="1"/>
      <w:marLeft w:val="0"/>
      <w:marRight w:val="0"/>
      <w:marTop w:val="0"/>
      <w:marBottom w:val="0"/>
      <w:divBdr>
        <w:top w:val="none" w:sz="0" w:space="0" w:color="auto"/>
        <w:left w:val="none" w:sz="0" w:space="0" w:color="auto"/>
        <w:bottom w:val="none" w:sz="0" w:space="0" w:color="auto"/>
        <w:right w:val="none" w:sz="0" w:space="0" w:color="auto"/>
      </w:divBdr>
    </w:div>
    <w:div w:id="21463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771/1435-2869-2018-2-87" TargetMode="External"/><Relationship Id="rId13" Type="http://schemas.openxmlformats.org/officeDocument/2006/relationships/hyperlink" Target="https://www.imf.org/en/News/Articles/2016/11/18/pr16514-IMF-Staff-Concludes-Visit-to-Kosovo-with-Agreement-o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Gov16</b:Tag>
    <b:SourceType>Book</b:SourceType>
    <b:Guid>{6EF15CC4-710B-9D40-A2EC-4E0F00B6C851}</b:Guid>
    <b:Author>
      <b:Author>
        <b:Corporate>Government of the Republic of Kosovo</b:Corporate>
      </b:Author>
    </b:Author>
    <b:Title>Drafti i  konceptdokumentit për  rregullimin e fushës e pensioneve</b:Title>
    <b:City>Prishtina</b:City>
    <b:Year>2016</b:Year>
    <b:Publisher>Ministry of Labour and Social Welfare</b:Publisher>
    <b:RefOrder>1</b:RefOrder>
  </b:Source>
  <b:Source>
    <b:Tag>Ber16</b:Tag>
    <b:SourceType>Book</b:SourceType>
    <b:Guid>{041E0DA2-77E0-7845-9F53-1B9DBD6B14AB}</b:Guid>
    <b:Author>
      <b:Author>
        <b:Corporate>Bertelsmann Stiftung</b:Corporate>
      </b:Author>
    </b:Author>
    <b:Title>BTI 2016 - Kosovo Country Report</b:Title>
    <b:City>Gütersloh</b:City>
    <b:Publisher>Bertelsmann Stiftung</b:Publisher>
    <b:Year>2016</b:Year>
    <b:RefOrder>2</b:RefOrder>
  </b:Source>
  <b:Source>
    <b:Tag>ILO171</b:Tag>
    <b:SourceType>Book</b:SourceType>
    <b:Guid>{E84934FE-6281-B54F-B750-8A4A10B4D074}</b:Guid>
    <b:Author>
      <b:Author>
        <b:Corporate>ILO</b:Corporate>
      </b:Author>
    </b:Author>
    <b:Title>World Social Protection Report 2017/18: Universal Social Protection to Achieve the SDGs</b:Title>
    <b:Publisher>International Labour Office</b:Publisher>
    <b:City>Geneva</b:City>
    <b:Year>2017</b:Year>
    <b:RefOrder>3</b:RefOrder>
  </b:Source>
  <b:Source>
    <b:Tag>Bar12</b:Tag>
    <b:SourceType>Book</b:SourceType>
    <b:Guid>{841C90F0-E8A5-8944-AA5B-45FE25275E42}</b:Guid>
    <b:Author>
      <b:Author>
        <b:NameList>
          <b:Person>
            <b:Last>Barr</b:Last>
            <b:First>Nicholas</b:First>
          </b:Person>
        </b:NameList>
      </b:Author>
    </b:Author>
    <b:Title>Economics of the Welfare State, 5th Edition</b:Title>
    <b:Publisher>Oxford University Press</b:Publisher>
    <b:City>Oxford</b:City>
    <b:Year>2012</b:Year>
    <b:RefOrder>4</b:RefOrder>
  </b:Source>
  <b:Source>
    <b:Tag>Bon12</b:Tag>
    <b:SourceType>BookSection</b:SourceType>
    <b:Guid>{4D4631B1-7A63-0643-B42A-22F3CDC80B41}</b:Guid>
    <b:Title>Blame Avoidance and Credit Claiming Revisited</b:Title>
    <b:City>Oxford</b:City>
    <b:Publisher>Oxford University Press</b:Publisher>
    <b:Year>2012</b:Year>
    <b:Pages>93-110</b:Pages>
    <b:Author>
      <b:Author>
        <b:NameList>
          <b:Person>
            <b:Last>Bonoli</b:Last>
            <b:First>Giuliano</b:First>
          </b:Person>
        </b:NameList>
      </b:Author>
      <b:BookAuthor>
        <b:NameList>
          <b:Person>
            <b:Last>Bonoli</b:Last>
            <b:First>Giuliano</b:First>
          </b:Person>
          <b:Person>
            <b:Last>Natali</b:Last>
            <b:First>David</b:First>
          </b:Person>
        </b:NameList>
      </b:BookAuthor>
    </b:Author>
    <b:BookTitle>The Politics of the New Welfare State</b:BookTitle>
    <b:RefOrder>5</b:RefOrder>
  </b:Source>
  <b:Source>
    <b:Tag>Car16</b:Tag>
    <b:SourceType>JournalArticle</b:SourceType>
    <b:Guid>{FF486788-FB19-BD4A-AD3D-FC1A75AC7100}</b:Guid>
    <b:Title>Pension Reforms in the EU since the Early 2000’s: Achievements and Challenges Ahead</b:Title>
    <b:Year>2016</b:Year>
    <b:Author>
      <b:Author>
        <b:NameList>
          <b:Person>
            <b:Last>Carone</b:Last>
            <b:First>Giuseppe</b:First>
          </b:Person>
          <b:Person>
            <b:Last>Eckefeldt</b:Last>
            <b:First>Per</b:First>
          </b:Person>
          <b:Person>
            <b:Last>Giamboni</b:Last>
            <b:First>Luigi</b:First>
          </b:Person>
          <b:Person>
            <b:Last>Laine</b:Last>
            <b:First>Veli</b:First>
          </b:Person>
          <b:Person>
            <b:Last>Pamies Sumner</b:Last>
            <b:First>Stéphanie</b:First>
          </b:Person>
        </b:NameList>
      </b:Author>
    </b:Author>
    <b:JournalName>European Economy Discussion Paper</b:JournalName>
    <b:Month>December</b:Month>
    <b:Issue>042</b:Issue>
    <b:RefOrder>6</b:RefOrder>
  </b:Source>
  <b:Source>
    <b:Tag>Fer961</b:Tag>
    <b:SourceType>JournalArticle</b:SourceType>
    <b:Guid>{E3BA4C39-D4E7-3F4F-B2B1-2B2C6D98ECDD}</b:Guid>
    <b:Author>
      <b:Author>
        <b:NameList>
          <b:Person>
            <b:Last>Ferrera</b:Last>
            <b:First>Maurizio</b:First>
          </b:Person>
        </b:NameList>
      </b:Author>
    </b:Author>
    <b:Title>The ‘Southern Model’ of Welfare in Social Europe</b:Title>
    <b:Year>1996</b:Year>
    <b:Volume>6</b:Volume>
    <b:Pages>17-37</b:Pages>
    <b:JournalName>Journal of European Social Policy</b:JournalName>
    <b:Issue>1</b:Issue>
    <b:RefOrder>7</b:RefOrder>
  </b:Source>
  <b:Source>
    <b:Tag>Gal101</b:Tag>
    <b:SourceType>JournalArticle</b:SourceType>
    <b:Guid>{2BEB7B27-67D7-C14D-81B2-A295AAFAAA98}</b:Guid>
    <b:Author>
      <b:Author>
        <b:NameList>
          <b:Person>
            <b:Last>Gal</b:Last>
            <b:First>John</b:First>
          </b:Person>
        </b:NameList>
      </b:Author>
    </b:Author>
    <b:Title>Is There an Extended Family of Mediterranean Welfare States?</b:Title>
    <b:Year>2010</b:Year>
    <b:Volume>20</b:Volume>
    <b:Pages>283-300</b:Pages>
    <b:JournalName>Journal of European Social Policy</b:JournalName>
    <b:Issue>4</b:Issue>
    <b:RefOrder>8</b:RefOrder>
  </b:Source>
  <b:Source>
    <b:Tag>Gou96</b:Tag>
    <b:SourceType>JournalArticle</b:SourceType>
    <b:Guid>{BD83379D-1FC0-A541-85F3-E65B4870AC2D}</b:Guid>
    <b:Title>Social Assistance in Southern Europe</b:Title>
    <b:Year>1996</b:Year>
    <b:Volume>1</b:Volume>
    <b:Pages>1-23</b:Pages>
    <b:Author>
      <b:Author>
        <b:NameList>
          <b:Person>
            <b:Last>Gough</b:Last>
            <b:First>Ian</b:First>
          </b:Person>
        </b:NameList>
      </b:Author>
    </b:Author>
    <b:JournalName>South European Society &amp; Politics</b:JournalName>
    <b:Issue>1</b:Issue>
    <b:RefOrder>9</b:RefOrder>
  </b:Source>
  <b:Source>
    <b:Tag>Gua</b:Tag>
    <b:SourceType>Book</b:SourceType>
    <b:Guid>{43BBE05B-1DAD-EA42-AE3F-EBC51384F78F}</b:Guid>
    <b:Author>
      <b:Author>
        <b:NameList>
          <b:Person>
            <b:Last>Guardiancich</b:Last>
            <b:First>Igor</b:First>
          </b:Person>
        </b:NameList>
      </b:Author>
    </b:Author>
    <b:Title>Don’t Fix What Ain’t Broke I, Policy Brief. Options for Kosovo - Reform of Pensions Systems in Transition Countries</b:Title>
    <b:City>Prishtina</b:City>
    <b:Publisher>Kosovar Stability initiative</b:Publisher>
    <b:Year>2016</b:Year>
    <b:RefOrder>10</b:RefOrder>
  </b:Source>
  <b:Source>
    <b:Tag>Gua13</b:Tag>
    <b:SourceType>Book</b:SourceType>
    <b:Guid>{B461F0DE-B173-DC4D-BB99-5472CA9E0C1B}</b:Guid>
    <b:Author>
      <b:Author>
        <b:NameList>
          <b:Person>
            <b:Last>Guardiancich</b:Last>
            <b:First>Igor</b:First>
          </b:Person>
        </b:NameList>
      </b:Author>
    </b:Author>
    <b:Title>Pension Reforms in Central, Eastern and Southeastern Europe: From Post- Socialist Transition to the Global Financial Crisis</b:Title>
    <b:City>New York</b:City>
    <b:Publisher>Routledge</b:Publisher>
    <b:Year>2013</b:Year>
    <b:RefOrder>11</b:RefOrder>
  </b:Source>
  <b:Source>
    <b:Tag>Hol05</b:Tag>
    <b:SourceType>Book</b:SourceType>
    <b:Guid>{0033AD8A-369F-894C-B5F5-3CE3A0B5C4C4}</b:Guid>
    <b:Author>
      <b:Author>
        <b:NameList>
          <b:Person>
            <b:Last>Holzmann</b:Last>
            <b:First>Robert</b:First>
          </b:Person>
          <b:Person>
            <b:Last>Hinz</b:Last>
            <b:First>Richard</b:First>
          </b:Person>
        </b:NameList>
      </b:Author>
    </b:Author>
    <b:Title>Old-Age Income Support in the Twenty-first Century: An International Perspective on Pension Systems and Reform</b:Title>
    <b:City>Washington, DC</b:City>
    <b:Publisher>The World Bank</b:Publisher>
    <b:Year>2005</b:Year>
    <b:RefOrder>12</b:RefOrder>
  </b:Source>
  <b:Source>
    <b:Tag>Kra12</b:Tag>
    <b:SourceType>JournalArticle</b:SourceType>
    <b:Guid>{A83AD94C-3E60-464D-83C5-F448CDB4B796}</b:Guid>
    <b:Author>
      <b:Author>
        <b:NameList>
          <b:Person>
            <b:Last>Krasniqi</b:Last>
            <b:First>Florentina</b:First>
            <b:Middle>Xhelili</b:Middle>
          </b:Person>
          <b:Person>
            <b:Last>Topxhiu</b:Last>
            <b:First>Rahmije</b:First>
            <b:Middle>Mustafa</b:Middle>
          </b:Person>
        </b:NameList>
      </b:Author>
    </b:Author>
    <b:Title>The Informal Economy in Kosovo: Characteristics, Current Trends and Challenges</b:Title>
    <b:Year>2012</b:Year>
    <b:Volume>11</b:Volume>
    <b:Pages>1-25</b:Pages>
    <b:JournalName>Journal of Knowledge Management, Economics and Information Technology</b:JournalName>
    <b:Issue>2</b:Issue>
    <b:RefOrder>13</b:RefOrder>
  </b:Source>
  <b:Source>
    <b:Tag>Lox12</b:Tag>
    <b:SourceType>JournalArticle</b:SourceType>
    <b:Guid>{5EAADA2E-C165-B547-A0B4-AC182A76EEFF}</b:Guid>
    <b:Author>
      <b:Author>
        <b:NameList>
          <b:Person>
            <b:Last>Loxha</b:Last>
            <b:First>Arbëresha</b:First>
          </b:Person>
        </b:NameList>
      </b:Author>
    </b:Author>
    <b:Title>Pension System in Kosovo: Review of Current State, Main Challenges and Gaps</b:Title>
    <b:City>Prishtina</b:City>
    <b:Publisher>Group for Legal and Political Studies</b:Publisher>
    <b:Year>2012</b:Year>
    <b:ThesisType>Policy Report 06/2012</b:ThesisType>
    <b:JournalName>Policy Report 06/2012</b:JournalName>
    <b:RefOrder>14</b:RefOrder>
  </b:Source>
  <b:Source>
    <b:Tag>Pal06</b:Tag>
    <b:SourceType>JournalArticle</b:SourceType>
    <b:Guid>{184AF8B1-EDF9-9841-82CA-262454961073}</b:Guid>
    <b:Author>
      <b:Author>
        <b:NameList>
          <b:Person>
            <b:Last>Palacios</b:Last>
            <b:First>Robert</b:First>
            <b:Middle>J.</b:Middle>
          </b:Person>
          <b:Person>
            <b:Last>Sluchynsky</b:Last>
            <b:First>Oleksiy</b:First>
          </b:Person>
        </b:NameList>
      </b:Author>
    </b:Author>
    <b:Title>Social Pensions Part I: Their Role in the Overall Pension System</b:Title>
    <b:City>Washington, DC</b:City>
    <b:Publisher>The World Bank</b:Publisher>
    <b:Year>2006</b:Year>
    <b:JournalName>Social Protection Discussion Paper</b:JournalName>
    <b:Issue>0601</b:Issue>
    <b:RefOrder>15</b:RefOrder>
  </b:Source>
  <b:Source>
    <b:Tag>Qui16</b:Tag>
    <b:SourceType>JournalArticle</b:SourceType>
    <b:Guid>{1EF2CC28-8555-934B-B6C0-3C40EBBFF802}</b:Guid>
    <b:Author>
      <b:Author>
        <b:NameList>
          <b:Person>
            <b:Last>Quirezi</b:Last>
            <b:First>Arben</b:First>
          </b:Person>
        </b:NameList>
      </b:Author>
    </b:Author>
    <b:Title>Kosovo Budget Held up by Row Over Veteran Benefits</b:Title>
    <b:JournalName>Balkan Insight</b:JournalName>
    <b:Year>23 November 2016</b:Year>
    <b:RefOrder>16</b:RefOrder>
  </b:Source>
  <b:Source>
    <b:Tag>Rob09</b:Tag>
    <b:SourceType>BookSection</b:SourceType>
    <b:Guid>{C0B21220-F919-C049-BABA-A299D6A4872C}</b:Guid>
    <b:Author>
      <b:Author>
        <b:NameList>
          <b:Person>
            <b:Last>Robalino</b:Last>
            <b:First>David</b:First>
            <b:Middle>A.</b:Middle>
          </b:Person>
          <b:Person>
            <b:Last>Holzmann</b:Last>
            <b:First>Robert</b:First>
          </b:Person>
        </b:NameList>
      </b:Author>
      <b:Editor>
        <b:NameList>
          <b:Person>
            <b:Last>Holzmann</b:Last>
            <b:First>Robert</b:First>
          </b:Person>
          <b:Person>
            <b:Last>Robalino</b:Last>
            <b:First>David</b:First>
            <b:Middle>A.</b:Middle>
          </b:Person>
          <b:Person>
            <b:Last>Takayama</b:Last>
            <b:First>Noriyuki</b:First>
          </b:Person>
        </b:NameList>
      </b:Editor>
    </b:Author>
    <b:Title>Overview and Preliminary Policy Guidance</b:Title>
    <b:Publisher>The World Bank Publications</b:Publisher>
    <b:City>Washington, DC</b:City>
    <b:Year>2009</b:Year>
    <b:BookTitle>Closing the Coverage Gap: Role of Social Pensions and Other Retirement Income Transfers</b:BookTitle>
    <b:Pages>1-21</b:Pages>
    <b:RefOrder>17</b:RefOrder>
  </b:Source>
  <b:Source>
    <b:Tag>Rof</b:Tag>
    <b:SourceType>BookSection</b:SourceType>
    <b:Guid>{E834EC35-2AFC-EF4E-B7DE-EA367EFF3951}</b:Guid>
    <b:Author>
      <b:Author>
        <b:NameList>
          <b:Person>
            <b:Last>Rofman</b:Last>
            <b:First>Rafael</b:First>
          </b:Person>
          <b:Person>
            <b:Last>Apella</b:Last>
            <b:First>Ignacio</b:First>
          </b:Person>
          <b:Person>
            <b:Last>Vezza</b:Last>
            <b:First>Evelyn</b:First>
          </b:Person>
        </b:NameList>
      </b:Author>
      <b:BookAuthor>
        <b:NameList>
          <b:Person>
            <b:Last>Rofman</b:Last>
            <b:First>Rafael</b:First>
          </b:Person>
          <b:Person>
            <b:Last>Apella</b:Last>
            <b:First>Ignacio</b:First>
          </b:Person>
          <b:Person>
            <b:Last>Vezza</b:Last>
            <b:First>Evelyn</b:First>
          </b:Person>
        </b:NameList>
      </b:BookAuthor>
    </b:Author>
    <b:Title>Introduction and Overview. </b:Title>
    <b:Publisher>The World Bank</b:Publisher>
    <b:City>Buenos Aires</b:City>
    <b:Year>2015</b:Year>
    <b:Pages>1-46</b:Pages>
    <b:BookTitle>Beyond Pension Reform. Fourteen Experiences with Coverage Expansion in Latin America</b:BookTitle>
    <b:RefOrder>18</b:RefOrder>
  </b:Source>
  <b:Source>
    <b:Tag>Roe11</b:Tag>
    <b:SourceType>JournalArticle</b:SourceType>
    <b:Guid>{2C1DBE04-A5D2-A940-B28A-A5F3A9F83E87}</b:Guid>
    <b:Author>
      <b:Author>
        <b:NameList>
          <b:Person>
            <b:Last>Roelen</b:Last>
            <b:First>Keetie</b:First>
          </b:Person>
          <b:Person>
            <b:Last>Gassmann</b:Last>
            <b:First>Franziska</b:First>
          </b:Person>
        </b:NameList>
      </b:Author>
    </b:Author>
    <b:Title>How Effective Can Efficient Be? Social Assistance in Kosovo and What It Means for Children</b:Title>
    <b:Year>2011</b:Year>
    <b:Volume>21</b:Volume>
    <b:Pages>238-252</b:Pages>
    <b:JournalName>Journal of European Social Policy</b:JournalName>
    <b:Issue>3</b:Issue>
    <b:RefOrder>19</b:RefOrder>
  </b:Source>
  <b:Source>
    <b:Tag>Sch10</b:Tag>
    <b:SourceType>JournalArticle</b:SourceType>
    <b:Guid>{A10F005E-6CA6-C845-9648-01FAD7439E27}</b:Guid>
    <b:Author>
      <b:Author>
        <b:NameList>
          <b:Person>
            <b:Last>Schneider</b:Last>
            <b:First>Friedrich</b:First>
          </b:Person>
          <b:Person>
            <b:Last>Buehn</b:Last>
            <b:First>Andreas</b:First>
          </b:Person>
          <b:Person>
            <b:Last>Montenegro</b:Last>
            <b:First>Claudio</b:First>
            <b:Middle>E.</b:Middle>
          </b:Person>
        </b:NameList>
      </b:Author>
    </b:Author>
    <b:Title>Shadow Economies All over the World: New Estimates for 162 Countries from 1999 to 2007</b:Title>
    <b:City>Washington, DC</b:City>
    <b:Publisher>The World Bank</b:Publisher>
    <b:Year>2010</b:Year>
    <b:ThesisType>Policy Research Working Paper 5356</b:ThesisType>
    <b:JournalName>Policy Research Working Paper 5356</b:JournalName>
    <b:RefOrder>20</b:RefOrder>
  </b:Source>
  <b:Source>
    <b:Tag>Sch13</b:Tag>
    <b:SourceType>JournalArticle</b:SourceType>
    <b:Guid>{F3574290-DD7B-954A-95DE-4A25499212D4}</b:Guid>
    <b:Author>
      <b:Author>
        <b:NameList>
          <b:Person>
            <b:Last>Schoyen</b:Last>
            <b:First>Mi</b:First>
            <b:Middle>Ah</b:Middle>
          </b:Person>
          <b:Person>
            <b:Last>Stamati</b:Last>
            <b:First>Furio</b:First>
          </b:Person>
        </b:NameList>
      </b:Author>
    </b:Author>
    <b:Title>Political Sustainability of the NDC Pension Model: The Cases of Sweden and Italy</b:Title>
    <b:Year>2013</b:Year>
    <b:Volume>15</b:Volume>
    <b:Pages>79-101</b:Pages>
    <b:JournalName>European Journal of Social Security</b:JournalName>
    <b:Issue>1</b:Issue>
    <b:RefOrder>21</b:RefOrder>
  </b:Source>
  <b:Source>
    <b:Tag>Sha16</b:Tag>
    <b:SourceType>Book</b:SourceType>
    <b:Guid>{B95EC106-0C80-0B4D-AE93-8A8B32A4BB53}</b:Guid>
    <b:Author>
      <b:Author>
        <b:NameList>
          <b:Person>
            <b:Last>Shaipi</b:Last>
            <b:First>Kushtrim</b:First>
          </b:Person>
        </b:NameList>
      </b:Author>
    </b:Author>
    <b:Title>Don't Fix What Ain't Broke - II. Position Paper on Pensions in Kosovo</b:Title>
    <b:City>Prishtina</b:City>
    <b:Publisher>Kosovar Stability Initiative</b:Publisher>
    <b:Year>2016</b:Year>
    <b:RefOrder>22</b:RefOrder>
  </b:Source>
  <b:Source>
    <b:Tag>Ske141</b:Tag>
    <b:SourceType>JournalArticle</b:SourceType>
    <b:Guid>{AD8F818A-5DA7-D345-8F42-2BF8C4C48CEE}</b:Guid>
    <b:Author>
      <b:Author>
        <b:NameList>
          <b:Person>
            <b:Last>Skendaj</b:Last>
            <b:First>Elton</b:First>
          </b:Person>
        </b:NameList>
      </b:Author>
    </b:Author>
    <b:Title>International Insulation from Politics and the Challenge of State Building: Learning from Kosovo</b:Title>
    <b:JournalName>Global Governance</b:JournalName>
    <b:Year>2014</b:Year>
    <b:Volume>20</b:Volume>
    <b:Issue>3</b:Issue>
    <b:Pages>459-481</b:Pages>
    <b:RefOrder>23</b:RefOrder>
  </b:Source>
  <b:Source>
    <b:Tag>Slu09</b:Tag>
    <b:SourceType>BookSection</b:SourceType>
    <b:Guid>{33B07CC3-641F-0044-88F3-9E14C76E9381}</b:Guid>
    <b:Author>
      <b:Author>
        <b:NameList>
          <b:Person>
            <b:Last>Sluchynsky</b:Last>
            <b:First>Oleksiy</b:First>
          </b:Person>
        </b:NameList>
      </b:Author>
      <b:Editor>
        <b:NameList>
          <b:Person>
            <b:Last>Holzmann</b:Last>
            <b:First>Robert</b:First>
          </b:Person>
          <b:Person>
            <b:Last>Robalino</b:Last>
            <b:First>David</b:First>
            <b:Middle>A.</b:Middle>
          </b:Person>
          <b:Person>
            <b:Last>Takayama</b:Last>
            <b:First>Noriyuki</b:First>
          </b:Person>
        </b:NameList>
      </b:Editor>
    </b:Author>
    <b:Title>Administration of Social Pension Programs</b:Title>
    <b:Publisher>The World Bank Publications</b:Publisher>
    <b:Year>2009</b:Year>
    <b:BookTitle>Closing the Coverage Gap: Role of Social Pensions and Other Retirement Income Transfers</b:BookTitle>
    <b:City>Washington, DC</b:City>
    <b:Pages>203-214</b:Pages>
    <b:RefOrder>24</b:RefOrder>
  </b:Source>
  <b:Source>
    <b:Tag>Sta12</b:Tag>
    <b:SourceType>ConferenceProceedings</b:SourceType>
    <b:Guid>{DAA01857-8499-F543-B316-1231CF5B1B99}</b:Guid>
    <b:Author>
      <b:Author>
        <b:NameList>
          <b:Person>
            <b:Last>Stambolieva</b:Last>
            <b:First>Marija</b:First>
          </b:Person>
        </b:NameList>
      </b:Author>
    </b:Author>
    <b:Title>Kosovo – from State of Welfare Emergency to Welfare State?</b:Title>
    <b:Publisher>American University in Kosovo</b:Publisher>
    <b:City>Prishtina</b:City>
    <b:Year>12-13 October 2012</b:Year>
    <b:ConferenceName>Economic Development and Political Transition in Kosovo</b:ConferenceName>
    <b:ThesisType>Paper presented at the Conference “Economic Development and Political Transition in Kosovo”</b:ThesisType>
    <b:RefOrder>25</b:RefOrder>
  </b:Source>
  <b:Source>
    <b:Tag>Tab17</b:Tag>
    <b:SourceType>Book</b:SourceType>
    <b:Guid>{56BE757F-E17F-BE47-B191-FC20E303A344}</b:Guid>
    <b:Author>
      <b:Author>
        <b:NameList>
          <b:Person>
            <b:Last>Taborda</b:Last>
            <b:First>Luis</b:First>
            <b:Middle>Ernesto</b:Middle>
          </b:Person>
        </b:NameList>
      </b:Author>
    </b:Author>
    <b:Title>Sick Healthcare Systems: Clientelism in Italy and Colombia, PhD Dissertation</b:Title>
    <b:Publisher>University of Southern Denmark</b:Publisher>
    <b:City>Odense</b:City>
    <b:Year>2017</b:Year>
    <b:RefOrder>26</b:RefOrder>
  </b:Source>
  <b:Source>
    <b:Tag>Wea86</b:Tag>
    <b:SourceType>JournalArticle</b:SourceType>
    <b:Guid>{75F7CF08-F5CD-6E4A-9E8D-7BB0B2450F2A}</b:Guid>
    <b:Author>
      <b:Author>
        <b:NameList>
          <b:Person>
            <b:Last>Weaver</b:Last>
            <b:First>Kent</b:First>
            <b:Middle>R.</b:Middle>
          </b:Person>
        </b:NameList>
      </b:Author>
    </b:Author>
    <b:Title>The Politics of Blame Avoidance’</b:Title>
    <b:JournalName>Journal of Public Policy</b:JournalName>
    <b:Year>1986</b:Year>
    <b:Volume>6</b:Volume>
    <b:Issue>4</b:Issue>
    <b:Pages>371–398</b:Pages>
    <b:RefOrder>27</b:RefOrder>
  </b:Source>
  <b:Source>
    <b:Tag>Pie94</b:Tag>
    <b:SourceType>Book</b:SourceType>
    <b:Guid>{3D6E12EF-3E9A-5741-ACCB-F1E102E41BFF}</b:Guid>
    <b:Title>Dismantling the Welfare State? Reagan, Thatcher, and the Politics of Retrenchment</b:Title>
    <b:Publisher>Cambridge University Press</b:Publisher>
    <b:City>Cambridge</b:City>
    <b:Year>1994</b:Year>
    <b:Author>
      <b:Author>
        <b:NameList>
          <b:Person>
            <b:Last>Pierson</b:Last>
            <b:First>Paul</b:First>
          </b:Person>
        </b:NameList>
      </b:Author>
    </b:Author>
    <b:RefOrder>28</b:RefOrder>
  </b:Source>
  <b:Source>
    <b:Tag>Wil07</b:Tag>
    <b:SourceType>JournalArticle</b:SourceType>
    <b:Guid>{28B5AA57-BBB0-C148-919B-C88D39BB544F}</b:Guid>
    <b:Author>
      <b:Author>
        <b:NameList>
          <b:Person>
            <b:Last>Willmore</b:Last>
            <b:First>Larry</b:First>
          </b:Person>
        </b:NameList>
      </b:Author>
    </b:Author>
    <b:Title>Universal Pensions for Developing Countries</b:Title>
    <b:Year>2007</b:Year>
    <b:Volume>35</b:Volume>
    <b:Pages>24-51 </b:Pages>
    <b:JournalName>World Development</b:JournalName>
    <b:Issue>1</b:Issue>
    <b:RefOrder>29</b:RefOrder>
  </b:Source>
  <b:Source>
    <b:Tag>KAS13</b:Tag>
    <b:SourceType>Book</b:SourceType>
    <b:Guid>{9AEADC58-2EA4-9C4E-80E0-D4D670E600AB}</b:Guid>
    <b:Author>
      <b:Author>
        <b:Corporate>KAS</b:Corporate>
      </b:Author>
    </b:Author>
    <b:Title>Kosovo Population Projection 2011-2061</b:Title>
    <b:City>Prishtina</b:City>
    <b:Publisher>Kosovo Agency of Statistics</b:Publisher>
    <b:Year>2013</b:Year>
    <b:RefOrder>30</b:RefOrder>
  </b:Source>
  <b:Source>
    <b:Tag>IMF16</b:Tag>
    <b:SourceType>InternetSite</b:SourceType>
    <b:Guid>{DBB7A620-E50D-3044-885A-17BCFE95A29A}</b:Guid>
    <b:Title>Press Release No. 16/514. IMF Staff Concludes Visit to Kosovo with Agreement on Second and Third Review of the SBA Program</b:Title>
    <b:Year>2016</b:Year>
    <b:Month>November</b:Month>
    <b:Day>18</b:Day>
    <b:Author>
      <b:Author>
        <b:Corporate>IMF</b:Corporate>
      </b:Author>
    </b:Author>
    <b:URL>https://www.imf.org/en/News/Articles/2016/11/18/pr16514-IMF-Staff-Concludes-Visit-to-Kosovo-with-Agreement-on</b:URL>
    <b:YearAccessed>2017</b:YearAccessed>
    <b:MonthAccessed>February</b:MonthAccessed>
    <b:DayAccessed>18</b:DayAccessed>
    <b:RefOrder>31</b:RefOrder>
  </b:Source>
  <b:Source>
    <b:Tag>IMF15</b:Tag>
    <b:SourceType>JournalArticle</b:SourceType>
    <b:Guid>{834A65FA-7D4A-914A-BF13-4E425D0AC872}</b:Guid>
    <b:Title>Republic of Kosovo: First Review under the Stand-By Arrangement and Requests for Modification and Waivers of Applicability of Performance Criteria</b:Title>
    <b:City>Washington, DC</b:City>
    <b:Publisher>International Monetary Fund</b:Publisher>
    <b:Year>2015</b:Year>
    <b:Author>
      <b:Author>
        <b:Corporate>IMF</b:Corporate>
      </b:Author>
    </b:Author>
    <b:JournalName>IMF Country Report No. 16/22</b:JournalName>
    <b:RefOrder>32</b:RefOrder>
  </b:Source>
  <b:Source>
    <b:Tag>KAS15</b:Tag>
    <b:SourceType>Book</b:SourceType>
    <b:Guid>{183DD464-54AF-7F44-A8E2-4D65283DB706}</b:Guid>
    <b:Author>
      <b:Author>
        <b:Corporate>KAS</b:Corporate>
      </b:Author>
    </b:Author>
    <b:Title>Statistikat e mirëqenies sociale (2015)</b:Title>
    <b:Publisher>Kosovo Agency of Statistics</b:Publisher>
    <b:City>Prishtina</b:City>
    <b:Year>2016</b:Year>
    <b:RefOrder>33</b:RefOrder>
  </b:Source>
  <b:Source>
    <b:Tag>Rep16</b:Tag>
    <b:SourceType>InternetSite</b:SourceType>
    <b:Guid>{3246DE1A-A90A-D249-8224-4488197FF342}</b:Guid>
    <b:Title>The Government of Kosovo Approved the Decision to Increase Pensions</b:Title>
    <b:Year>2016</b:Year>
    <b:Month>May</b:Month>
    <b:Day>20</b:Day>
    <b:Author>
      <b:Author>
        <b:Corporate>Republic of Kosovo, Office of the Prime Minister</b:Corporate>
      </b:Author>
    </b:Author>
    <b:URL>http://www.kryeministri-ks.net/?page=2,9,5865</b:URL>
    <b:YearAccessed>2017</b:YearAccessed>
    <b:MonthAccessed>February</b:MonthAccessed>
    <b:DayAccessed>20</b:DayAccessed>
    <b:RefOrder>34</b:RefOrder>
  </b:Source>
  <b:Source>
    <b:Tag>Gub</b:Tag>
    <b:SourceType>JournalArticle</b:SourceType>
    <b:Guid>{F2DB7F72-ABDB-0049-BFB5-C9B3FCB0C67B}</b:Guid>
    <b:Title>The Kosovo Pension Reform: Achievements and Lessons</b:Title>
    <b:Author>
      <b:Author>
        <b:NameList>
          <b:Person>
            <b:Last>Gubbels</b:Last>
            <b:First>John</b:First>
          </b:Person>
          <b:Person>
            <b:Last>Snelbecker</b:Last>
            <b:First>David</b:First>
          </b:Person>
          <b:Person>
            <b:Last>Zezulin</b:Last>
            <b:First>Lena</b:First>
          </b:Person>
        </b:NameList>
      </b:Author>
    </b:Author>
    <b:JournalName>World Bank Social Protection Discussion Paper</b:JournalName>
    <b:Year>2007</b:Year>
    <b:Issue>707</b:Issue>
    <b:RefOrder>35</b:RefOrder>
  </b:Source>
  <b:Source>
    <b:Tag>Feh16</b:Tag>
    <b:SourceType>JournalArticle</b:SourceType>
    <b:Guid>{5F23D4CE-1139-9F44-9B7B-25F0D91A5D00}</b:Guid>
    <b:Author>
      <b:Author>
        <b:NameList>
          <b:Person>
            <b:Last>Feher</b:Last>
            <b:First>Csaba</b:First>
          </b:Person>
          <b:Person>
            <b:Last>Jirasavetakul</b:Last>
            <b:First>La-Bhus</b:First>
            <b:Middle>Fah</b:Middle>
          </b:Person>
          <b:Person>
            <b:Last>Jousten</b:Last>
            <b:First>Alain</b:First>
          </b:Person>
        </b:NameList>
      </b:Author>
    </b:Author>
    <b:Title>Kosovo: Enhancing Social Protection Cash Benefits. Washington, DC: International Monetary Fund.</b:Title>
    <b:JournalName>IMF Country Report No. 16/123</b:JournalName>
    <b:Publisher>International Monetary Fund</b:Publisher>
    <b:City>Washington, DC</b:City>
    <b:Year>2016</b:Year>
    <b:RefOrder>36</b:RefOrder>
  </b:Source>
  <b:Source>
    <b:Tag>Gre03</b:Tag>
    <b:SourceType>Book</b:SourceType>
    <b:Guid>{F77847D1-D0FB-E34D-8BDC-A4EACE144154}</b:Guid>
    <b:Author>
      <b:Author>
        <b:NameList>
          <b:Person>
            <b:Last>Green-Pedersen</b:Last>
            <b:First>Christoffer</b:First>
          </b:Person>
        </b:NameList>
      </b:Author>
    </b:Author>
    <b:Title>The Politics of Justification: Party Competition and Welfare-State Retrenchment in Denmark and the Netherlands from 1982 to 1998</b:Title>
    <b:City>Amsterdam</b:City>
    <b:Publisher>Amsterdam University Press</b:Publisher>
    <b:Year>2003</b:Year>
    <b:RefOrder>37</b:RefOrder>
  </b:Source>
  <b:Source>
    <b:Tag>Gro</b:Tag>
    <b:SourceType>BookSection</b:SourceType>
    <b:Guid>{9D13BFB5-E363-5042-9974-BDF5F9FD8FF7}</b:Guid>
    <b:Author>
      <b:Author>
        <b:NameList>
          <b:Person>
            <b:Last>Grosh</b:Last>
            <b:First>Margaret</b:First>
          </b:Person>
          <b:Person>
            <b:Last>Leite</b:Last>
            <b:First>Philippe</b:First>
            <b:Middle>G.</b:Middle>
          </b:Person>
        </b:NameList>
      </b:Author>
      <b:BookAuthor>
        <b:NameList>
          <b:Person>
            <b:Last>Holzmann</b:Last>
            <b:First>Robert</b:First>
          </b:Person>
          <b:Person>
            <b:Last>Robalino</b:Last>
            <b:First>David</b:First>
            <b:Middle>A.</b:Middle>
          </b:Person>
          <b:Person>
            <b:Last>Takayama</b:Last>
            <b:First>Noriyuki</b:First>
          </b:Person>
        </b:NameList>
      </b:BookAuthor>
    </b:Author>
    <b:City>Washington, DC</b:City>
    <b:Publisher>The World Bank Publications</b:Publisher>
    <b:Year>2009</b:Year>
    <b:Title>Defining Eligibility for Social Pensions: A View from a Social Assistance Perspective</b:Title>
    <b:BookTitle>Closing the Coverage Gap: Role of Social Pensions and Other Retirement Income Transfers</b:BookTitle>
    <b:Pages>161-186</b:Pages>
    <b:RefOrder>38</b:RefOrder>
  </b:Source>
  <b:Source>
    <b:Tag>Kor93</b:Tag>
    <b:SourceType>JournalArticle</b:SourceType>
    <b:Guid>{DE473147-786A-404F-BB7D-89B74BCD9367}</b:Guid>
    <b:Title>The Paradox of Redistribution and Strategies for Equality: Welfare State Institutions, Inequality, and Poverty in the Western Countries</b:Title>
    <b:Year>1998</b:Year>
    <b:Volume>63</b:Volume>
    <b:Pages>661-687</b:Pages>
    <b:Author>
      <b:Author>
        <b:NameList>
          <b:Person>
            <b:Last>Korpi</b:Last>
            <b:First>Walter</b:First>
          </b:Person>
          <b:Person>
            <b:Last>Palme</b:Last>
            <b:First>Joachim</b:First>
          </b:Person>
        </b:NameList>
      </b:Author>
    </b:Author>
    <b:JournalName>American Sociological Review</b:JournalName>
    <b:Issue>5</b:Issue>
    <b:RefOrder>39</b:RefOrder>
  </b:Source>
  <b:Source>
    <b:Tag>Jen04</b:Tag>
    <b:SourceType>JournalArticle</b:SourceType>
    <b:Guid>{D5804565-2B48-BD42-A70D-0684526AE4E8}</b:Guid>
    <b:Author>
      <b:Author>
        <b:NameList>
          <b:Person>
            <b:Last>Jensen</b:Last>
            <b:First>Robert</b:First>
            <b:Middle>T.</b:Middle>
          </b:Person>
          <b:Person>
            <b:Last>Richter</b:Last>
            <b:First>Kaspar</b:First>
          </b:Person>
        </b:NameList>
      </b:Author>
    </b:Author>
    <b:Title>The Health Implications of Social Security Failure: Evidence from the Russian Pension Crisis</b:Title>
    <b:JournalName>Journal of Public Economics</b:JournalName>
    <b:Year>2004</b:Year>
    <b:Volume>88</b:Volume>
    <b:Issue>1</b:Issue>
    <b:Pages>209-236</b:Pages>
    <b:RefOrder>40</b:RefOrder>
  </b:Source>
</b:Sources>
</file>

<file path=customXml/itemProps1.xml><?xml version="1.0" encoding="utf-8"?>
<ds:datastoreItem xmlns:ds="http://schemas.openxmlformats.org/officeDocument/2006/customXml" ds:itemID="{DCB78064-28DF-BF43-B1BF-FDA0924C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12</Pages>
  <Words>6138</Words>
  <Characters>34988</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Guardiancich</dc:creator>
  <cp:keywords/>
  <dc:description/>
  <cp:lastModifiedBy>Igor Guardiancich</cp:lastModifiedBy>
  <cp:revision>50</cp:revision>
  <dcterms:created xsi:type="dcterms:W3CDTF">2018-01-20T10:40:00Z</dcterms:created>
  <dcterms:modified xsi:type="dcterms:W3CDTF">2019-02-14T08:48:00Z</dcterms:modified>
</cp:coreProperties>
</file>